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600F7">
      <w:pPr>
        <w:pStyle w:val="12"/>
        <w:spacing w:line="240" w:lineRule="auto"/>
        <w:rPr>
          <w:rFonts w:ascii="宋体" w:hAnsi="宋体" w:eastAsia="宋体"/>
          <w:sz w:val="24"/>
          <w:szCs w:val="24"/>
        </w:rPr>
      </w:pPr>
      <w:bookmarkStart w:id="10" w:name="_GoBack"/>
      <w:bookmarkEnd w:id="10"/>
      <w:r>
        <w:rPr>
          <w:rFonts w:hint="eastAsia" w:ascii="宋体" w:hAnsi="宋体" w:eastAsia="宋体"/>
          <w:sz w:val="24"/>
          <w:szCs w:val="24"/>
        </w:rPr>
        <w:t>附件：</w:t>
      </w:r>
    </w:p>
    <w:p w14:paraId="68A04AFF">
      <w:pPr>
        <w:pStyle w:val="12"/>
        <w:spacing w:line="24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南京审计大学金审学院产教融合工作考核</w:t>
      </w:r>
      <w:r>
        <w:rPr>
          <w:rFonts w:hint="eastAsia" w:ascii="宋体" w:hAnsi="宋体" w:eastAsia="宋体"/>
          <w:sz w:val="24"/>
          <w:szCs w:val="24"/>
        </w:rPr>
        <w:t>指标体系及评分细则</w:t>
      </w:r>
    </w:p>
    <w:tbl>
      <w:tblPr>
        <w:tblStyle w:val="14"/>
        <w:tblW w:w="1389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5"/>
        <w:gridCol w:w="1080"/>
        <w:gridCol w:w="4996"/>
        <w:gridCol w:w="5306"/>
        <w:gridCol w:w="1545"/>
      </w:tblGrid>
      <w:tr w14:paraId="6AAD1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blHeader/>
        </w:trPr>
        <w:tc>
          <w:tcPr>
            <w:tcW w:w="96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86A0847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一级指标</w:t>
            </w:r>
          </w:p>
        </w:tc>
        <w:tc>
          <w:tcPr>
            <w:tcW w:w="108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6CC7E5C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二级指标</w:t>
            </w:r>
          </w:p>
        </w:tc>
        <w:tc>
          <w:tcPr>
            <w:tcW w:w="499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E185ED9">
            <w:pPr>
              <w:pStyle w:val="22"/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指标说明</w:t>
            </w:r>
          </w:p>
        </w:tc>
        <w:tc>
          <w:tcPr>
            <w:tcW w:w="5306" w:type="dxa"/>
          </w:tcPr>
          <w:p w14:paraId="77FB72FC">
            <w:pPr>
              <w:pStyle w:val="22"/>
              <w:spacing w:line="24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评分细则</w:t>
            </w:r>
          </w:p>
        </w:tc>
        <w:tc>
          <w:tcPr>
            <w:tcW w:w="1545" w:type="dxa"/>
          </w:tcPr>
          <w:p w14:paraId="04772AAE">
            <w:pPr>
              <w:pStyle w:val="22"/>
              <w:spacing w:line="240" w:lineRule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佐证材料</w:t>
            </w:r>
          </w:p>
        </w:tc>
      </w:tr>
      <w:tr w14:paraId="193FB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65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D2D02DA">
            <w:pPr>
              <w:pStyle w:val="22"/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1.组织与机制建设 (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分)</w:t>
            </w:r>
          </w:p>
        </w:tc>
        <w:tc>
          <w:tcPr>
            <w:tcW w:w="108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2D31BD2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1.1组织架构与领导力(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分)</w:t>
            </w:r>
          </w:p>
        </w:tc>
        <w:tc>
          <w:tcPr>
            <w:tcW w:w="499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7DF0AB9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成立学院产教融合专项工作组，职责明确，运行有效；学院负责人高度重视，定期研究部署产教融合工作，有明确分工；积极参与学校领导小组及办公室组织的活动。</w:t>
            </w:r>
          </w:p>
        </w:tc>
        <w:tc>
          <w:tcPr>
            <w:tcW w:w="5306" w:type="dxa"/>
          </w:tcPr>
          <w:p w14:paraId="52AB4754">
            <w:pPr>
              <w:pStyle w:val="22"/>
              <w:spacing w:before="0" w:after="0" w:line="24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成立专项工作组，分工、职责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明确</w:t>
            </w:r>
            <w:r>
              <w:rPr>
                <w:rFonts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分）</w:t>
            </w:r>
          </w:p>
          <w:p w14:paraId="0FDC3F7B">
            <w:pPr>
              <w:pStyle w:val="22"/>
              <w:spacing w:before="0" w:after="0" w:line="24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每月一次专题研究部署（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分）</w:t>
            </w:r>
          </w:p>
          <w:p w14:paraId="0F7BFC9F">
            <w:pPr>
              <w:pStyle w:val="22"/>
              <w:spacing w:before="0" w:after="0" w:line="24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积极参与校级活动（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分）</w:t>
            </w:r>
          </w:p>
        </w:tc>
        <w:tc>
          <w:tcPr>
            <w:tcW w:w="1545" w:type="dxa"/>
          </w:tcPr>
          <w:p w14:paraId="22971650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工作组文件、会议记录、活动签到表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等</w:t>
            </w:r>
          </w:p>
        </w:tc>
      </w:tr>
      <w:tr w14:paraId="4B746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8" w:hRule="atLeast"/>
        </w:trPr>
        <w:tc>
          <w:tcPr>
            <w:tcW w:w="965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C70A649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8A81C1B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1.2规划与制度保障(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分)</w:t>
            </w:r>
          </w:p>
        </w:tc>
        <w:tc>
          <w:tcPr>
            <w:tcW w:w="499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44B0CA0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制定符合学院实际的产教融合年度工作计划和三年实施方案；建立完善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的配套</w:t>
            </w:r>
            <w:r>
              <w:rPr>
                <w:rFonts w:ascii="宋体" w:hAnsi="宋体" w:eastAsia="宋体"/>
                <w:sz w:val="24"/>
                <w:szCs w:val="24"/>
              </w:rPr>
              <w:t>制度（如企业兼职教师管理、实践基地管理、项目合作管理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制度或办法</w:t>
            </w:r>
            <w:r>
              <w:rPr>
                <w:rFonts w:ascii="宋体" w:hAnsi="宋体" w:eastAsia="宋体"/>
                <w:sz w:val="24"/>
                <w:szCs w:val="24"/>
              </w:rPr>
              <w:t>等）；严格执行学校产教融合相关制度。</w:t>
            </w:r>
          </w:p>
        </w:tc>
        <w:tc>
          <w:tcPr>
            <w:tcW w:w="5306" w:type="dxa"/>
          </w:tcPr>
          <w:p w14:paraId="7E3047A3">
            <w:pPr>
              <w:pStyle w:val="22"/>
              <w:spacing w:before="0" w:after="0" w:line="24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制定年度计划和</w:t>
            </w:r>
            <w:r>
              <w:rPr>
                <w:rFonts w:ascii="宋体" w:hAnsi="宋体" w:eastAsia="宋体" w:cs="宋体"/>
                <w:sz w:val="24"/>
                <w:szCs w:val="24"/>
              </w:rPr>
              <w:t>三年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实施</w:t>
            </w:r>
            <w:r>
              <w:rPr>
                <w:rFonts w:ascii="宋体" w:hAnsi="宋体" w:eastAsia="宋体" w:cs="宋体"/>
                <w:sz w:val="24"/>
                <w:szCs w:val="24"/>
              </w:rPr>
              <w:t>方案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且符合实际</w:t>
            </w:r>
          </w:p>
          <w:p w14:paraId="1D393F9D">
            <w:pPr>
              <w:pStyle w:val="22"/>
              <w:spacing w:before="0" w:after="0" w:line="24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分）</w:t>
            </w:r>
          </w:p>
          <w:p w14:paraId="384A2634">
            <w:pPr>
              <w:pStyle w:val="22"/>
              <w:spacing w:before="0" w:after="0" w:line="24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・</w:t>
            </w:r>
            <w:r>
              <w:rPr>
                <w:rFonts w:ascii="宋体" w:hAnsi="宋体" w:eastAsia="宋体" w:cs="宋体"/>
                <w:sz w:val="24"/>
                <w:szCs w:val="24"/>
              </w:rPr>
              <w:t>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立完善的配套</w:t>
            </w:r>
            <w:r>
              <w:rPr>
                <w:rFonts w:ascii="宋体" w:hAnsi="宋体" w:eastAsia="宋体" w:cs="宋体"/>
                <w:sz w:val="24"/>
                <w:szCs w:val="24"/>
              </w:rPr>
              <w:t>制度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或办法并有效执行</w:t>
            </w: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z w:val="24"/>
                <w:szCs w:val="24"/>
              </w:rPr>
              <w:t>分）</w:t>
            </w:r>
          </w:p>
        </w:tc>
        <w:tc>
          <w:tcPr>
            <w:tcW w:w="1545" w:type="dxa"/>
          </w:tcPr>
          <w:p w14:paraId="0FA86D43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规划文件、制度文本、执行记录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等</w:t>
            </w:r>
          </w:p>
        </w:tc>
      </w:tr>
      <w:tr w14:paraId="0730F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65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C3B7EAE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177B274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1.3校企合作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机制</w:t>
            </w:r>
            <w:r>
              <w:rPr>
                <w:rFonts w:ascii="宋体" w:hAnsi="宋体" w:eastAsia="宋体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分)</w:t>
            </w:r>
          </w:p>
        </w:tc>
        <w:tc>
          <w:tcPr>
            <w:tcW w:w="499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805CC6F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建立稳定、深度合作的行业企业伙伴关系（数量、层次）；签订实质性合作协议（现代产业学院、订单班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（冠名班）</w:t>
            </w:r>
            <w:r>
              <w:rPr>
                <w:rFonts w:ascii="宋体" w:hAnsi="宋体" w:eastAsia="宋体"/>
                <w:sz w:val="24"/>
                <w:szCs w:val="24"/>
              </w:rPr>
              <w:t>、共建平台、课程开发等）；建立有效的沟通协调机制和利益共享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风险分担机制（体现创新性）。</w:t>
            </w:r>
          </w:p>
        </w:tc>
        <w:tc>
          <w:tcPr>
            <w:tcW w:w="5306" w:type="dxa"/>
          </w:tcPr>
          <w:p w14:paraId="61806BF4">
            <w:pPr>
              <w:pStyle w:val="22"/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・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校企合作机制健全，组织架构清晰，人员构成合理，权责明确，运行与管理规范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(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分)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45" w:type="dxa"/>
          </w:tcPr>
          <w:p w14:paraId="16BA613C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合作协议、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任务清单、</w:t>
            </w:r>
            <w:r>
              <w:rPr>
                <w:rFonts w:ascii="宋体" w:hAnsi="宋体" w:eastAsia="宋体"/>
                <w:sz w:val="24"/>
                <w:szCs w:val="24"/>
              </w:rPr>
              <w:t>说明文件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等</w:t>
            </w:r>
          </w:p>
        </w:tc>
      </w:tr>
      <w:tr w14:paraId="1A1A9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65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D4E2CC9">
            <w:pPr>
              <w:pStyle w:val="22"/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2.专业与课程建设(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40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分)</w:t>
            </w:r>
          </w:p>
        </w:tc>
        <w:tc>
          <w:tcPr>
            <w:tcW w:w="108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B191348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2.1专业动态调整与结构优化(5分)</w:t>
            </w:r>
          </w:p>
        </w:tc>
        <w:tc>
          <w:tcPr>
            <w:tcW w:w="499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C057929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定期（每年）开展专业论证（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经济社会、</w:t>
            </w:r>
            <w:r>
              <w:rPr>
                <w:rFonts w:ascii="宋体" w:hAnsi="宋体" w:eastAsia="宋体"/>
                <w:sz w:val="24"/>
                <w:szCs w:val="24"/>
              </w:rPr>
              <w:t>产业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发展和技术变革对</w:t>
            </w:r>
            <w:r>
              <w:rPr>
                <w:rFonts w:ascii="宋体" w:hAnsi="宋体" w:eastAsia="宋体"/>
                <w:sz w:val="24"/>
                <w:szCs w:val="24"/>
              </w:rPr>
              <w:t>人才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的</w:t>
            </w:r>
            <w:r>
              <w:rPr>
                <w:rFonts w:ascii="宋体" w:hAnsi="宋体" w:eastAsia="宋体"/>
                <w:sz w:val="24"/>
                <w:szCs w:val="24"/>
              </w:rPr>
              <w:t>需求、毕业生反馈分析报告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等</w:t>
            </w:r>
            <w:r>
              <w:rPr>
                <w:rFonts w:ascii="宋体" w:hAnsi="宋体" w:eastAsia="宋体"/>
                <w:sz w:val="24"/>
                <w:szCs w:val="24"/>
              </w:rPr>
              <w:t>）；专业动态调整机制运行有效（有调整/优化/新增专业的论证与行动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方案</w:t>
            </w:r>
            <w:r>
              <w:rPr>
                <w:rFonts w:ascii="宋体" w:hAnsi="宋体" w:eastAsia="宋体"/>
                <w:sz w:val="24"/>
                <w:szCs w:val="24"/>
              </w:rPr>
              <w:t>）；专业设置紧密对接区域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经济社会发展和</w:t>
            </w:r>
            <w:r>
              <w:rPr>
                <w:rFonts w:ascii="宋体" w:hAnsi="宋体" w:eastAsia="宋体"/>
                <w:sz w:val="24"/>
                <w:szCs w:val="24"/>
              </w:rPr>
              <w:t>产业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需求。</w:t>
            </w:r>
          </w:p>
        </w:tc>
        <w:tc>
          <w:tcPr>
            <w:tcW w:w="5306" w:type="dxa"/>
          </w:tcPr>
          <w:p w14:paraId="09060917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提交年度专业论证报告（经济社会、产业发展和技术变革对</w:t>
            </w:r>
            <w:r>
              <w:rPr>
                <w:rFonts w:ascii="宋体" w:hAnsi="宋体" w:eastAsia="宋体"/>
                <w:sz w:val="24"/>
                <w:szCs w:val="24"/>
              </w:rPr>
              <w:t>人才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的</w:t>
            </w:r>
            <w:r>
              <w:rPr>
                <w:rFonts w:ascii="宋体" w:hAnsi="宋体" w:eastAsia="宋体"/>
                <w:sz w:val="24"/>
                <w:szCs w:val="24"/>
              </w:rPr>
              <w:t>需求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毕业生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就业情况</w:t>
            </w:r>
            <w:r>
              <w:rPr>
                <w:rFonts w:ascii="宋体" w:hAnsi="宋体" w:eastAsia="宋体"/>
                <w:sz w:val="24"/>
                <w:szCs w:val="24"/>
              </w:rPr>
              <w:t>分析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报告等</w:t>
            </w:r>
            <w:r>
              <w:rPr>
                <w:rFonts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并与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  <w:r>
              <w:rPr>
                <w:rFonts w:ascii="宋体" w:hAnsi="宋体" w:eastAsia="宋体"/>
                <w:sz w:val="24"/>
                <w:szCs w:val="24"/>
              </w:rPr>
              <w:t>优化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升级方案契合</w:t>
            </w:r>
            <w:r>
              <w:rPr>
                <w:rFonts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分）</w:t>
            </w:r>
          </w:p>
        </w:tc>
        <w:tc>
          <w:tcPr>
            <w:tcW w:w="1545" w:type="dxa"/>
          </w:tcPr>
          <w:p w14:paraId="4797801C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论证报告、专业调整决策文件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等</w:t>
            </w:r>
          </w:p>
        </w:tc>
      </w:tr>
      <w:tr w14:paraId="7639C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65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99F2810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9D0B359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人才培养方案优化与产教融合课程教材建设</w:t>
            </w:r>
            <w:r>
              <w:rPr>
                <w:rFonts w:ascii="宋体" w:hAnsi="宋体" w:eastAsia="宋体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sz w:val="24"/>
                <w:szCs w:val="24"/>
              </w:rPr>
              <w:t>分)</w:t>
            </w:r>
          </w:p>
        </w:tc>
        <w:tc>
          <w:tcPr>
            <w:tcW w:w="499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67D2664">
            <w:pPr>
              <w:pStyle w:val="22"/>
              <w:spacing w:line="24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人才培养方案共制、教材共编、教学共施。</w:t>
            </w:r>
          </w:p>
        </w:tc>
        <w:tc>
          <w:tcPr>
            <w:tcW w:w="5306" w:type="dxa"/>
          </w:tcPr>
          <w:p w14:paraId="5A3681A0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科学动态修订人才培养方案，企业深度参与人才培养方案制定和专业建设</w:t>
            </w:r>
            <w:r>
              <w:rPr>
                <w:rFonts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分）</w:t>
            </w:r>
          </w:p>
          <w:p w14:paraId="7817B2E9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・</w:t>
            </w:r>
            <w:r>
              <w:rPr>
                <w:rFonts w:ascii="宋体" w:hAnsi="宋体" w:eastAsia="宋体"/>
                <w:sz w:val="24"/>
                <w:szCs w:val="24"/>
              </w:rPr>
              <w:t>每个专业开设不少于1门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产教融合课程（</w:t>
            </w:r>
            <w:r>
              <w:rPr>
                <w:rFonts w:ascii="宋体" w:hAnsi="宋体" w:eastAsia="宋体"/>
                <w:sz w:val="24"/>
                <w:szCs w:val="24"/>
              </w:rPr>
              <w:t>企业教师承担不少于30%的授课课时，并使用真实项目案例开展教学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）（3</w:t>
            </w:r>
            <w:r>
              <w:rPr>
                <w:rFonts w:ascii="宋体" w:hAnsi="宋体" w:eastAsia="宋体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  <w:p w14:paraId="4037820A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・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每个专业校企合作开发教材不少于1本（5分），其中，投入使用得2分，正式出版并被其他高校推广使用得3</w:t>
            </w:r>
            <w:r>
              <w:rPr>
                <w:rFonts w:ascii="宋体" w:hAnsi="宋体" w:eastAsia="宋体"/>
                <w:sz w:val="24"/>
                <w:szCs w:val="24"/>
              </w:rPr>
              <w:t>分</w:t>
            </w:r>
          </w:p>
        </w:tc>
        <w:tc>
          <w:tcPr>
            <w:tcW w:w="1545" w:type="dxa"/>
          </w:tcPr>
          <w:p w14:paraId="2C849AF7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培养方案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及修订论证会会议纪要</w:t>
            </w:r>
            <w:r>
              <w:rPr>
                <w:rFonts w:ascii="宋体" w:hAnsi="宋体" w:eastAsia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企业师资授课记录</w:t>
            </w:r>
            <w:r>
              <w:rPr>
                <w:rFonts w:ascii="宋体" w:hAnsi="宋体" w:eastAsia="宋体"/>
                <w:sz w:val="24"/>
                <w:szCs w:val="24"/>
              </w:rPr>
              <w:t>、教材样本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等</w:t>
            </w:r>
          </w:p>
        </w:tc>
      </w:tr>
      <w:tr w14:paraId="20F61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65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29508F2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A84F951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现代产业学院/订单班建设(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5分)</w:t>
            </w:r>
          </w:p>
        </w:tc>
        <w:tc>
          <w:tcPr>
            <w:tcW w:w="499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A5D6440">
            <w:pPr>
              <w:pStyle w:val="22"/>
              <w:spacing w:line="24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力争建成校级及以上现代产业学院/创新创业学院；每个学院至少运行1个实质性订单班/冠名班/特色班（有协议、有方案、有成效）；合作模式有创新，企业参与人才培养全过程（方案、教学、评价、就业）。</w:t>
            </w:r>
          </w:p>
        </w:tc>
        <w:tc>
          <w:tcPr>
            <w:tcW w:w="5306" w:type="dxa"/>
          </w:tcPr>
          <w:p w14:paraId="1BDBE490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・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获批1个校级</w:t>
            </w:r>
            <w:r>
              <w:rPr>
                <w:rFonts w:ascii="宋体" w:hAnsi="宋体" w:eastAsia="宋体"/>
                <w:sz w:val="24"/>
                <w:szCs w:val="24"/>
              </w:rPr>
              <w:t>产业学院（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3分</w:t>
            </w:r>
            <w:r>
              <w:rPr>
                <w:rFonts w:ascii="宋体" w:hAnsi="宋体" w:eastAsia="宋体"/>
                <w:sz w:val="24"/>
                <w:szCs w:val="24"/>
              </w:rPr>
              <w:t>）</w:t>
            </w:r>
          </w:p>
          <w:p w14:paraId="5DDC1EB5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・</w:t>
            </w:r>
            <w:r>
              <w:rPr>
                <w:rFonts w:ascii="宋体" w:hAnsi="宋体" w:eastAsia="宋体"/>
                <w:sz w:val="24"/>
                <w:szCs w:val="24"/>
              </w:rPr>
              <w:t>申报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并获批省级及以上</w:t>
            </w:r>
            <w:r>
              <w:rPr>
                <w:rFonts w:ascii="宋体" w:hAnsi="宋体" w:eastAsia="宋体"/>
                <w:sz w:val="24"/>
                <w:szCs w:val="24"/>
              </w:rPr>
              <w:t>产业学院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（10分），其中，申报得2分，获批得8分</w:t>
            </w:r>
          </w:p>
          <w:p w14:paraId="029AA237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・</w:t>
            </w:r>
            <w:r>
              <w:rPr>
                <w:rFonts w:ascii="宋体" w:hAnsi="宋体" w:eastAsia="宋体"/>
                <w:sz w:val="24"/>
                <w:szCs w:val="24"/>
              </w:rPr>
              <w:t>学院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成功签订并</w:t>
            </w:r>
            <w:r>
              <w:rPr>
                <w:rFonts w:ascii="宋体" w:hAnsi="宋体" w:eastAsia="宋体"/>
                <w:sz w:val="24"/>
                <w:szCs w:val="24"/>
              </w:rPr>
              <w:t>运行不少于1个订单班/冠名班/特色班（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  <w:r>
              <w:rPr>
                <w:rFonts w:ascii="宋体" w:hAnsi="宋体" w:eastAsia="宋体"/>
                <w:sz w:val="24"/>
                <w:szCs w:val="24"/>
              </w:rPr>
              <w:t>分）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，其中，签订协议得2分，实际运行得10分</w:t>
            </w:r>
          </w:p>
        </w:tc>
        <w:tc>
          <w:tcPr>
            <w:tcW w:w="1545" w:type="dxa"/>
          </w:tcPr>
          <w:p w14:paraId="014DCE75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建设方案、合作协议、运行日志、成果报告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等</w:t>
            </w:r>
          </w:p>
        </w:tc>
      </w:tr>
      <w:tr w14:paraId="056DC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65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B6A4F5D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3.师资队伍建设 (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20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分)</w:t>
            </w:r>
          </w:p>
        </w:tc>
        <w:tc>
          <w:tcPr>
            <w:tcW w:w="108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87363C9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3.1“双师双能型”教师培养(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  <w:r>
              <w:rPr>
                <w:rFonts w:ascii="宋体" w:hAnsi="宋体" w:eastAsia="宋体"/>
                <w:sz w:val="24"/>
                <w:szCs w:val="24"/>
              </w:rPr>
              <w:t>分)</w:t>
            </w:r>
          </w:p>
        </w:tc>
        <w:tc>
          <w:tcPr>
            <w:tcW w:w="499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DC7F2AB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各专业</w:t>
            </w:r>
            <w:r>
              <w:rPr>
                <w:rFonts w:ascii="宋体" w:hAnsi="宋体" w:eastAsia="宋体"/>
                <w:sz w:val="24"/>
                <w:szCs w:val="24"/>
              </w:rPr>
              <w:t>专任教师中“双师双能型”比例达到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80</w:t>
            </w:r>
            <w:r>
              <w:rPr>
                <w:rFonts w:ascii="宋体" w:hAnsi="宋体" w:eastAsia="宋体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并不断</w:t>
            </w:r>
            <w:r>
              <w:rPr>
                <w:rFonts w:ascii="宋体" w:hAnsi="宋体" w:eastAsia="宋体"/>
                <w:sz w:val="24"/>
                <w:szCs w:val="24"/>
              </w:rPr>
              <w:t>提升（需提供认定依据）；有效实施教师企业实践（挂职、培训、项目合作）制度，教师参与度高；教师实践能力提升效果明显（承担横向课题、开发案例、指导实践等增加）。</w:t>
            </w:r>
          </w:p>
        </w:tc>
        <w:tc>
          <w:tcPr>
            <w:tcW w:w="5306" w:type="dxa"/>
          </w:tcPr>
          <w:p w14:paraId="5AB567C8">
            <w:pPr>
              <w:pStyle w:val="22"/>
              <w:spacing w:line="240" w:lineRule="auto"/>
              <w:rPr>
                <w:rFonts w:ascii="宋体" w:hAnsi="宋体" w:eastAsia="宋体"/>
                <w:i/>
                <w:i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・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各专业</w:t>
            </w:r>
            <w:r>
              <w:rPr>
                <w:rFonts w:ascii="宋体" w:hAnsi="宋体" w:eastAsia="宋体"/>
                <w:sz w:val="24"/>
                <w:szCs w:val="24"/>
              </w:rPr>
              <w:t>专任教师中“双师”比例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不低于80</w:t>
            </w:r>
            <w:r>
              <w:rPr>
                <w:rFonts w:ascii="宋体" w:hAnsi="宋体" w:eastAsia="宋体"/>
                <w:sz w:val="24"/>
                <w:szCs w:val="24"/>
              </w:rPr>
              <w:t>%（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每低5%扣1分）</w:t>
            </w:r>
          </w:p>
          <w:p w14:paraId="7C5B3F71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・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各专业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教师企业实践制度有效落实（挂职</w:t>
            </w:r>
            <w:r>
              <w:rPr>
                <w:rFonts w:ascii="宋体" w:hAnsi="宋体" w:eastAsia="宋体"/>
                <w:sz w:val="24"/>
                <w:szCs w:val="24"/>
              </w:rPr>
              <w:t>/培训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人均不低于45天/年</w:t>
            </w:r>
            <w:r>
              <w:rPr>
                <w:rFonts w:ascii="宋体" w:hAnsi="宋体" w:eastAsia="宋体"/>
                <w:sz w:val="24"/>
                <w:szCs w:val="24"/>
              </w:rPr>
              <w:t>）（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分）</w:t>
            </w:r>
          </w:p>
          <w:p w14:paraId="539DBF72">
            <w:pPr>
              <w:pStyle w:val="22"/>
              <w:spacing w:line="240" w:lineRule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bookmarkStart w:id="0" w:name="OLE_LINK1"/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・</w:t>
            </w:r>
            <w:bookmarkEnd w:id="0"/>
            <w:r>
              <w:rPr>
                <w:rFonts w:hint="eastAsia" w:ascii="宋体" w:hAnsi="宋体" w:eastAsia="宋体"/>
                <w:sz w:val="24"/>
                <w:szCs w:val="24"/>
              </w:rPr>
              <w:t>学院人均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横向课题年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到账经费不低于1万元</w:t>
            </w:r>
            <w:r>
              <w:rPr>
                <w:rFonts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，每低1千元扣1分</w:t>
            </w:r>
            <w:r>
              <w:rPr>
                <w:rFonts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，为学院争取可支配经费3万以上另得3分</w:t>
            </w:r>
          </w:p>
        </w:tc>
        <w:tc>
          <w:tcPr>
            <w:tcW w:w="1545" w:type="dxa"/>
          </w:tcPr>
          <w:p w14:paraId="65C659BE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双师名录、实践记录、课题清单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等</w:t>
            </w:r>
          </w:p>
        </w:tc>
      </w:tr>
      <w:tr w14:paraId="42368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65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0457BF9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4B1F325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3.2企业兼职教师队伍建设(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分)</w:t>
            </w:r>
          </w:p>
        </w:tc>
        <w:tc>
          <w:tcPr>
            <w:tcW w:w="499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9C9BDAB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企业兼职教师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满足需要</w:t>
            </w:r>
            <w:r>
              <w:rPr>
                <w:rFonts w:ascii="宋体" w:hAnsi="宋体" w:eastAsia="宋体"/>
                <w:sz w:val="24"/>
                <w:szCs w:val="24"/>
              </w:rPr>
              <w:t>；产业教授作用发挥显著（授课、讲座、指导项目、参与教研等）；企业兼职教师实质性参与教学（授课、指导实习实训、毕业设计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/论文</w:t>
            </w:r>
            <w:r>
              <w:rPr>
                <w:rFonts w:ascii="宋体" w:hAnsi="宋体" w:eastAsia="宋体"/>
                <w:sz w:val="24"/>
                <w:szCs w:val="24"/>
              </w:rPr>
              <w:t>等）比例高、效果好；校企教师共建团队、共同教研活动常态化。</w:t>
            </w:r>
          </w:p>
        </w:tc>
        <w:tc>
          <w:tcPr>
            <w:tcW w:w="5306" w:type="dxa"/>
          </w:tcPr>
          <w:p w14:paraId="6B7DF9D2">
            <w:pPr>
              <w:pStyle w:val="22"/>
              <w:spacing w:line="240" w:lineRule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・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各专业的</w:t>
            </w:r>
            <w:r>
              <w:rPr>
                <w:rFonts w:ascii="宋体" w:hAnsi="宋体" w:eastAsia="宋体"/>
                <w:sz w:val="24"/>
                <w:szCs w:val="24"/>
              </w:rPr>
              <w:t>企业兼职教师（含产业教授）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数量不断增加，结构不断优化（2分），实质性参与教学的企业兼职教师不少于5人</w:t>
            </w:r>
            <w:r>
              <w:rPr>
                <w:rFonts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1545" w:type="dxa"/>
          </w:tcPr>
          <w:p w14:paraId="5AE5F00A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企业兼职</w:t>
            </w:r>
            <w:r>
              <w:rPr>
                <w:rFonts w:ascii="宋体" w:hAnsi="宋体" w:eastAsia="宋体"/>
                <w:sz w:val="24"/>
                <w:szCs w:val="24"/>
              </w:rPr>
              <w:t>教师名单、授课表、活动记录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等</w:t>
            </w:r>
          </w:p>
        </w:tc>
      </w:tr>
      <w:tr w14:paraId="5CCB1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65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110FAF5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4.平台与资源建设 (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15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分)</w:t>
            </w:r>
          </w:p>
        </w:tc>
        <w:tc>
          <w:tcPr>
            <w:tcW w:w="108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3785FD9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4.1</w:t>
            </w:r>
            <w:bookmarkStart w:id="1" w:name="OLE_LINK5"/>
            <w:r>
              <w:rPr>
                <w:rFonts w:ascii="宋体" w:hAnsi="宋体" w:eastAsia="宋体"/>
                <w:sz w:val="24"/>
                <w:szCs w:val="24"/>
              </w:rPr>
              <w:t>实践教学平台建设</w:t>
            </w:r>
            <w:bookmarkEnd w:id="1"/>
            <w:r>
              <w:rPr>
                <w:rFonts w:ascii="宋体" w:hAnsi="宋体" w:eastAsia="宋体"/>
                <w:sz w:val="24"/>
                <w:szCs w:val="24"/>
              </w:rPr>
              <w:t>(1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  <w:r>
              <w:rPr>
                <w:rFonts w:ascii="宋体" w:hAnsi="宋体" w:eastAsia="宋体"/>
                <w:sz w:val="24"/>
                <w:szCs w:val="24"/>
              </w:rPr>
              <w:t>分)</w:t>
            </w:r>
          </w:p>
        </w:tc>
        <w:tc>
          <w:tcPr>
            <w:tcW w:w="499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C01CF4F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积极建设共建共享实践平台；优质校企合作实践基地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（实习、就业或实验实践教学基地）</w:t>
            </w:r>
            <w:r>
              <w:rPr>
                <w:rFonts w:ascii="宋体" w:hAnsi="宋体" w:eastAsia="宋体"/>
                <w:sz w:val="24"/>
                <w:szCs w:val="24"/>
              </w:rPr>
              <w:t>数量增加且运行良好；产教融合平台利用率高，支撑教学科研效果好。</w:t>
            </w:r>
          </w:p>
        </w:tc>
        <w:tc>
          <w:tcPr>
            <w:tcW w:w="5306" w:type="dxa"/>
          </w:tcPr>
          <w:p w14:paraId="6C7B14D7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bookmarkStart w:id="2" w:name="OLE_LINK2"/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・</w:t>
            </w:r>
            <w:bookmarkEnd w:id="2"/>
            <w:r>
              <w:rPr>
                <w:rFonts w:hint="eastAsia" w:ascii="宋体" w:hAnsi="宋体" w:eastAsia="宋体" w:cs="宋体"/>
                <w:sz w:val="24"/>
                <w:szCs w:val="24"/>
              </w:rPr>
              <w:t>建成1个</w:t>
            </w:r>
            <w:r>
              <w:rPr>
                <w:rFonts w:ascii="宋体" w:hAnsi="宋体" w:eastAsia="宋体"/>
                <w:sz w:val="24"/>
                <w:szCs w:val="24"/>
              </w:rPr>
              <w:t>数智化实践平台（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1分</w:t>
            </w:r>
            <w:r>
              <w:rPr>
                <w:rFonts w:ascii="宋体" w:hAnsi="宋体" w:eastAsia="宋体"/>
                <w:sz w:val="24"/>
                <w:szCs w:val="24"/>
              </w:rPr>
              <w:t>）</w:t>
            </w:r>
          </w:p>
          <w:p w14:paraId="48DB61C8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・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各专业实践基地建设数量和质量较上年提高（2分）</w:t>
            </w:r>
          </w:p>
          <w:p w14:paraId="2343223B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・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获批</w:t>
            </w:r>
            <w:r>
              <w:rPr>
                <w:rFonts w:ascii="宋体" w:hAnsi="宋体" w:eastAsia="宋体"/>
                <w:sz w:val="24"/>
                <w:szCs w:val="24"/>
              </w:rPr>
              <w:t>校级产教融合平台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（1分）</w:t>
            </w:r>
          </w:p>
          <w:p w14:paraId="6184EC7A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・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申报并</w:t>
            </w:r>
            <w:r>
              <w:rPr>
                <w:rFonts w:ascii="宋体" w:hAnsi="宋体" w:eastAsia="宋体"/>
                <w:sz w:val="24"/>
                <w:szCs w:val="24"/>
              </w:rPr>
              <w:t>获批</w:t>
            </w:r>
            <w:bookmarkStart w:id="3" w:name="OLE_LINK9"/>
            <w:r>
              <w:rPr>
                <w:rFonts w:hint="eastAsia" w:ascii="宋体" w:hAnsi="宋体" w:eastAsia="宋体"/>
                <w:sz w:val="24"/>
                <w:szCs w:val="24"/>
              </w:rPr>
              <w:t>省</w:t>
            </w:r>
            <w:r>
              <w:rPr>
                <w:rFonts w:ascii="宋体" w:hAnsi="宋体" w:eastAsia="宋体"/>
                <w:sz w:val="24"/>
                <w:szCs w:val="24"/>
              </w:rPr>
              <w:t>级及以上</w:t>
            </w:r>
            <w:bookmarkStart w:id="4" w:name="OLE_LINK8"/>
            <w:r>
              <w:rPr>
                <w:rFonts w:ascii="宋体" w:hAnsi="宋体" w:eastAsia="宋体"/>
                <w:sz w:val="24"/>
                <w:szCs w:val="24"/>
              </w:rPr>
              <w:t>产教融合平台</w:t>
            </w:r>
            <w:bookmarkEnd w:id="3"/>
            <w:bookmarkEnd w:id="4"/>
            <w:r>
              <w:rPr>
                <w:rFonts w:hint="eastAsia" w:ascii="宋体" w:hAnsi="宋体" w:eastAsia="宋体"/>
                <w:sz w:val="24"/>
                <w:szCs w:val="24"/>
              </w:rPr>
              <w:t>（6</w:t>
            </w:r>
            <w:r>
              <w:rPr>
                <w:rFonts w:ascii="宋体" w:hAnsi="宋体" w:eastAsia="宋体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），其中，申报得2分，获批得4分</w:t>
            </w:r>
          </w:p>
        </w:tc>
        <w:tc>
          <w:tcPr>
            <w:tcW w:w="1545" w:type="dxa"/>
          </w:tcPr>
          <w:p w14:paraId="4370E341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平台方案、基地协议、认定文件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等</w:t>
            </w:r>
          </w:p>
        </w:tc>
      </w:tr>
      <w:tr w14:paraId="3F671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65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5C260A1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D01E831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4.2</w:t>
            </w:r>
            <w:bookmarkStart w:id="5" w:name="OLE_LINK14"/>
            <w:r>
              <w:rPr>
                <w:rFonts w:ascii="宋体" w:hAnsi="宋体" w:eastAsia="宋体"/>
                <w:sz w:val="24"/>
                <w:szCs w:val="24"/>
              </w:rPr>
              <w:t>资源共建共享与应用</w:t>
            </w:r>
            <w:bookmarkEnd w:id="5"/>
            <w:r>
              <w:rPr>
                <w:rFonts w:ascii="宋体" w:hAnsi="宋体" w:eastAsia="宋体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分)</w:t>
            </w:r>
          </w:p>
        </w:tc>
        <w:tc>
          <w:tcPr>
            <w:tcW w:w="499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D356244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bookmarkStart w:id="6" w:name="OLE_LINK13"/>
            <w:r>
              <w:rPr>
                <w:rFonts w:ascii="宋体" w:hAnsi="宋体" w:eastAsia="宋体"/>
                <w:sz w:val="24"/>
                <w:szCs w:val="24"/>
              </w:rPr>
              <w:t>将企业真实项目、案例、数据、技术等有效转化为教学资源；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源自企业一线的</w:t>
            </w:r>
            <w:r>
              <w:rPr>
                <w:rFonts w:ascii="宋体" w:hAnsi="宋体" w:eastAsia="宋体"/>
                <w:sz w:val="24"/>
                <w:szCs w:val="24"/>
              </w:rPr>
              <w:t>毕业设计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/论文</w:t>
            </w:r>
            <w:r>
              <w:rPr>
                <w:rFonts w:ascii="宋体" w:hAnsi="宋体" w:eastAsia="宋体"/>
                <w:sz w:val="24"/>
                <w:szCs w:val="24"/>
              </w:rPr>
              <w:t>选题比例显著提高。</w:t>
            </w:r>
            <w:bookmarkEnd w:id="6"/>
          </w:p>
        </w:tc>
        <w:tc>
          <w:tcPr>
            <w:tcW w:w="5306" w:type="dxa"/>
          </w:tcPr>
          <w:p w14:paraId="54078299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・</w:t>
            </w:r>
            <w:bookmarkStart w:id="7" w:name="OLE_LINK11"/>
            <w:bookmarkStart w:id="8" w:name="OLE_LINK15"/>
            <w:r>
              <w:rPr>
                <w:rFonts w:hint="eastAsia" w:ascii="宋体" w:hAnsi="宋体" w:eastAsia="宋体" w:cs="宋体"/>
                <w:sz w:val="24"/>
                <w:szCs w:val="24"/>
              </w:rPr>
              <w:t>企业真实案例</w:t>
            </w:r>
            <w:bookmarkEnd w:id="7"/>
            <w:r>
              <w:rPr>
                <w:rFonts w:hint="eastAsia" w:ascii="宋体" w:hAnsi="宋体" w:eastAsia="宋体" w:cs="宋体"/>
                <w:sz w:val="24"/>
                <w:szCs w:val="24"/>
              </w:rPr>
              <w:t>、项目、技术等不断有效</w:t>
            </w:r>
            <w:r>
              <w:rPr>
                <w:rFonts w:ascii="宋体" w:hAnsi="宋体" w:eastAsia="宋体"/>
                <w:sz w:val="24"/>
                <w:szCs w:val="24"/>
              </w:rPr>
              <w:t>转化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为</w:t>
            </w:r>
            <w:r>
              <w:rPr>
                <w:rFonts w:ascii="宋体" w:hAnsi="宋体" w:eastAsia="宋体"/>
                <w:sz w:val="24"/>
                <w:szCs w:val="24"/>
              </w:rPr>
              <w:t>教学资源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（2分）。</w:t>
            </w:r>
          </w:p>
          <w:p w14:paraId="3F2A14C1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・</w:t>
            </w:r>
            <w:bookmarkStart w:id="9" w:name="OLE_LINK12"/>
            <w:r>
              <w:rPr>
                <w:rFonts w:ascii="宋体" w:hAnsi="宋体" w:eastAsia="宋体"/>
                <w:sz w:val="24"/>
                <w:szCs w:val="24"/>
              </w:rPr>
              <w:t>毕业论文</w:t>
            </w:r>
            <w:bookmarkEnd w:id="9"/>
            <w:r>
              <w:rPr>
                <w:rFonts w:ascii="宋体" w:hAnsi="宋体" w:eastAsia="宋体"/>
                <w:sz w:val="24"/>
                <w:szCs w:val="24"/>
              </w:rPr>
              <w:t>（设计）选题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来源于企业的</w:t>
            </w:r>
            <w:r>
              <w:rPr>
                <w:rFonts w:ascii="宋体" w:hAnsi="宋体" w:eastAsia="宋体"/>
                <w:sz w:val="24"/>
                <w:szCs w:val="24"/>
              </w:rPr>
              <w:t>占比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不低于50%并不断提高（3分）；每低于10%扣2分。</w:t>
            </w:r>
            <w:bookmarkEnd w:id="8"/>
          </w:p>
        </w:tc>
        <w:tc>
          <w:tcPr>
            <w:tcW w:w="1545" w:type="dxa"/>
          </w:tcPr>
          <w:p w14:paraId="4C6AFC8A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资源清单、项目库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、教案中标注研究成果来源</w:t>
            </w:r>
            <w:r>
              <w:rPr>
                <w:rFonts w:ascii="宋体" w:hAnsi="宋体" w:eastAsia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毕业论文（设计）</w:t>
            </w:r>
            <w:r>
              <w:rPr>
                <w:rFonts w:ascii="宋体" w:hAnsi="宋体" w:eastAsia="宋体"/>
                <w:sz w:val="24"/>
                <w:szCs w:val="24"/>
              </w:rPr>
              <w:t>选题统计表</w:t>
            </w:r>
          </w:p>
        </w:tc>
      </w:tr>
      <w:tr w14:paraId="4D421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65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2087705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5.人才培养成效(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15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分)</w:t>
            </w:r>
          </w:p>
        </w:tc>
        <w:tc>
          <w:tcPr>
            <w:tcW w:w="108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9CAF912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5.1学生实践与创新能力(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分)</w:t>
            </w:r>
          </w:p>
        </w:tc>
        <w:tc>
          <w:tcPr>
            <w:tcW w:w="499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AC203EE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学生参与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教师横向课题、产教融合类</w:t>
            </w:r>
            <w:r>
              <w:rPr>
                <w:rFonts w:ascii="宋体" w:hAnsi="宋体" w:eastAsia="宋体"/>
                <w:sz w:val="24"/>
                <w:szCs w:val="24"/>
              </w:rPr>
              <w:t>大创项目数量增长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、获奖等级提高，</w:t>
            </w:r>
            <w:r>
              <w:rPr>
                <w:rFonts w:ascii="宋体" w:hAnsi="宋体" w:eastAsia="宋体"/>
                <w:sz w:val="24"/>
                <w:szCs w:val="24"/>
              </w:rPr>
              <w:t>学生实践能力、岗位适应能力、创新创业素养提升。</w:t>
            </w:r>
          </w:p>
        </w:tc>
        <w:tc>
          <w:tcPr>
            <w:tcW w:w="5306" w:type="dxa"/>
          </w:tcPr>
          <w:p w14:paraId="501D7383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・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源于校企合作的</w:t>
            </w:r>
            <w:r>
              <w:rPr>
                <w:rFonts w:ascii="宋体" w:hAnsi="宋体" w:eastAsia="宋体"/>
                <w:sz w:val="24"/>
                <w:szCs w:val="24"/>
              </w:rPr>
              <w:t>省级及以上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大创</w:t>
            </w:r>
            <w:r>
              <w:rPr>
                <w:rFonts w:ascii="宋体" w:hAnsi="宋体" w:eastAsia="宋体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、学科</w:t>
            </w:r>
            <w:r>
              <w:rPr>
                <w:rFonts w:ascii="宋体" w:hAnsi="宋体" w:eastAsia="宋体"/>
                <w:sz w:val="24"/>
                <w:szCs w:val="24"/>
              </w:rPr>
              <w:t>竞赛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的</w:t>
            </w:r>
            <w:r>
              <w:rPr>
                <w:rFonts w:ascii="宋体" w:hAnsi="宋体" w:eastAsia="宋体"/>
                <w:sz w:val="24"/>
                <w:szCs w:val="24"/>
              </w:rPr>
              <w:t>获奖数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量增加、获奖</w:t>
            </w:r>
            <w:r>
              <w:rPr>
                <w:rFonts w:ascii="宋体" w:hAnsi="宋体" w:eastAsia="宋体"/>
                <w:sz w:val="24"/>
                <w:szCs w:val="24"/>
              </w:rPr>
              <w:t>等级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提高或位于全校前3名</w:t>
            </w:r>
            <w:r>
              <w:rPr>
                <w:rFonts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分）</w:t>
            </w:r>
          </w:p>
          <w:p w14:paraId="14E54F52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・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学生</w:t>
            </w:r>
            <w:r>
              <w:rPr>
                <w:rFonts w:ascii="宋体" w:hAnsi="宋体" w:eastAsia="宋体"/>
                <w:sz w:val="24"/>
                <w:szCs w:val="24"/>
              </w:rPr>
              <w:t>参与教师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纵向或</w:t>
            </w:r>
            <w:r>
              <w:rPr>
                <w:rFonts w:ascii="宋体" w:hAnsi="宋体" w:eastAsia="宋体"/>
                <w:sz w:val="24"/>
                <w:szCs w:val="24"/>
              </w:rPr>
              <w:t>横向课题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的人次不断增加或位于全校前3名</w:t>
            </w:r>
            <w:r>
              <w:rPr>
                <w:rFonts w:ascii="宋体" w:hAnsi="宋体" w:eastAsia="宋体"/>
                <w:sz w:val="24"/>
                <w:szCs w:val="24"/>
              </w:rPr>
              <w:t>（2分）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，毕业论文（设计）源自教师课题的人次不断增加或位于全校前3名（3分）</w:t>
            </w:r>
            <w:r>
              <w:rPr>
                <w:rFonts w:ascii="宋体" w:hAnsi="宋体" w:eastAsia="宋体"/>
                <w:sz w:val="24"/>
                <w:szCs w:val="24"/>
              </w:rPr>
              <w:t>。</w:t>
            </w:r>
          </w:p>
        </w:tc>
        <w:tc>
          <w:tcPr>
            <w:tcW w:w="1545" w:type="dxa"/>
          </w:tcPr>
          <w:p w14:paraId="3C20B164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项目清单、获奖证书、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课题立项材料、</w:t>
            </w:r>
            <w:r>
              <w:rPr>
                <w:rFonts w:ascii="宋体" w:hAnsi="宋体" w:eastAsia="宋体"/>
                <w:sz w:val="24"/>
                <w:szCs w:val="24"/>
              </w:rPr>
              <w:t>参与证明、报告</w:t>
            </w:r>
          </w:p>
        </w:tc>
      </w:tr>
      <w:tr w14:paraId="1C459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65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A7D5A9F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60A7FF8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5.2毕业生就业质量(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sz w:val="24"/>
                <w:szCs w:val="24"/>
              </w:rPr>
              <w:t>分)</w:t>
            </w:r>
          </w:p>
        </w:tc>
        <w:tc>
          <w:tcPr>
            <w:tcW w:w="499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BDC30D3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校企合作单位接收</w:t>
            </w:r>
            <w:r>
              <w:rPr>
                <w:rFonts w:ascii="宋体" w:hAnsi="宋体" w:eastAsia="宋体"/>
                <w:sz w:val="24"/>
                <w:szCs w:val="24"/>
              </w:rPr>
              <w:t>毕业生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实习、</w:t>
            </w:r>
            <w:r>
              <w:rPr>
                <w:rFonts w:ascii="宋体" w:hAnsi="宋体" w:eastAsia="宋体"/>
                <w:sz w:val="24"/>
                <w:szCs w:val="24"/>
              </w:rPr>
              <w:t>就业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数量增加；</w:t>
            </w:r>
            <w:r>
              <w:rPr>
                <w:rFonts w:ascii="宋体" w:hAnsi="宋体" w:eastAsia="宋体"/>
                <w:sz w:val="24"/>
                <w:szCs w:val="24"/>
              </w:rPr>
              <w:t>建立毕业生跟踪反馈机制，反馈结果用于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持续</w:t>
            </w:r>
            <w:r>
              <w:rPr>
                <w:rFonts w:ascii="宋体" w:hAnsi="宋体" w:eastAsia="宋体"/>
                <w:sz w:val="24"/>
                <w:szCs w:val="24"/>
              </w:rPr>
              <w:t>改进人才培养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方案和校企合作</w:t>
            </w:r>
            <w:r>
              <w:rPr>
                <w:rFonts w:ascii="宋体" w:hAnsi="宋体" w:eastAsia="宋体"/>
                <w:sz w:val="24"/>
                <w:szCs w:val="24"/>
              </w:rPr>
              <w:t>。</w:t>
            </w:r>
          </w:p>
        </w:tc>
        <w:tc>
          <w:tcPr>
            <w:tcW w:w="5306" w:type="dxa"/>
          </w:tcPr>
          <w:p w14:paraId="5949DF6C">
            <w:pPr>
              <w:pStyle w:val="22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合作单位接收毕业实习人数持续增长或位于全校前3名（3分）</w:t>
            </w:r>
          </w:p>
          <w:p w14:paraId="020D2B19">
            <w:pPr>
              <w:pStyle w:val="22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合作单位就业占比≥3%或同比提升5%或位于全校前3名(2分)</w:t>
            </w:r>
          </w:p>
          <w:p w14:paraId="4B094D87">
            <w:pPr>
              <w:pStyle w:val="22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建立常态化的人才培养和校企合作工作的跟踪、反馈和改进机制（2分）</w:t>
            </w:r>
          </w:p>
        </w:tc>
        <w:tc>
          <w:tcPr>
            <w:tcW w:w="1545" w:type="dxa"/>
          </w:tcPr>
          <w:p w14:paraId="3EF01AEB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实习</w:t>
            </w:r>
            <w:r>
              <w:rPr>
                <w:rFonts w:ascii="宋体" w:hAnsi="宋体" w:eastAsia="宋体"/>
                <w:sz w:val="24"/>
                <w:szCs w:val="24"/>
              </w:rPr>
              <w:t>报告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就业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协议</w:t>
            </w:r>
            <w:r>
              <w:rPr>
                <w:rFonts w:ascii="宋体" w:hAnsi="宋体" w:eastAsia="宋体"/>
                <w:sz w:val="24"/>
                <w:szCs w:val="24"/>
              </w:rPr>
              <w:t>、质量分析、跟踪反馈报告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等</w:t>
            </w:r>
          </w:p>
        </w:tc>
      </w:tr>
    </w:tbl>
    <w:p w14:paraId="3409464C">
      <w:pPr>
        <w:pStyle w:val="4"/>
        <w:spacing w:line="24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特色与创新工作（附加分）</w:t>
      </w:r>
    </w:p>
    <w:tbl>
      <w:tblPr>
        <w:tblStyle w:val="14"/>
        <w:tblW w:w="1389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41"/>
        <w:gridCol w:w="8158"/>
        <w:gridCol w:w="1116"/>
        <w:gridCol w:w="2977"/>
      </w:tblGrid>
      <w:tr w14:paraId="3F919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4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2DA944B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815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677F468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说明</w:t>
            </w:r>
          </w:p>
        </w:tc>
        <w:tc>
          <w:tcPr>
            <w:tcW w:w="111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2E840F3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297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3109E31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佐证材料</w:t>
            </w:r>
          </w:p>
        </w:tc>
      </w:tr>
      <w:tr w14:paraId="57F9C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4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F734040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省级以上重大成果</w:t>
            </w:r>
          </w:p>
        </w:tc>
        <w:tc>
          <w:tcPr>
            <w:tcW w:w="815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374B0A4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获批省级产教融合品牌专业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一流课程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重点基地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或省级平台项目、省部级产学合作规划教材(另加10分/项)教育部产学合作协同育人项目（另加5分/项），国家级项目（另加20分/项）</w:t>
            </w:r>
          </w:p>
        </w:tc>
        <w:tc>
          <w:tcPr>
            <w:tcW w:w="111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EA951CD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-20分/项</w:t>
            </w:r>
          </w:p>
        </w:tc>
        <w:tc>
          <w:tcPr>
            <w:tcW w:w="297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0B41797">
            <w:pPr>
              <w:pStyle w:val="22"/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认定文件</w:t>
            </w:r>
          </w:p>
        </w:tc>
      </w:tr>
    </w:tbl>
    <w:p w14:paraId="2476F722">
      <w:pPr>
        <w:pStyle w:val="22"/>
        <w:spacing w:line="24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评分规则</w:t>
      </w:r>
      <w:r>
        <w:rPr>
          <w:rFonts w:ascii="宋体" w:hAnsi="宋体" w:eastAsia="宋体"/>
          <w:sz w:val="24"/>
          <w:szCs w:val="24"/>
        </w:rPr>
        <w:t>：</w:t>
      </w:r>
    </w:p>
    <w:p w14:paraId="02F3A3C1">
      <w:pPr>
        <w:pStyle w:val="22"/>
        <w:spacing w:line="240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总分</w:t>
      </w:r>
      <w:r>
        <w:rPr>
          <w:rFonts w:hint="eastAsia" w:ascii="宋体" w:hAnsi="宋体" w:eastAsia="宋体"/>
          <w:sz w:val="24"/>
          <w:szCs w:val="24"/>
        </w:rPr>
        <w:t>由指标评分加特色分构成，上</w:t>
      </w:r>
      <w:r>
        <w:rPr>
          <w:rFonts w:ascii="宋体" w:hAnsi="宋体" w:eastAsia="宋体"/>
          <w:sz w:val="24"/>
          <w:szCs w:val="24"/>
        </w:rPr>
        <w:t>不</w:t>
      </w:r>
      <w:r>
        <w:rPr>
          <w:rFonts w:hint="eastAsia" w:ascii="宋体" w:hAnsi="宋体" w:eastAsia="宋体"/>
          <w:sz w:val="24"/>
          <w:szCs w:val="24"/>
        </w:rPr>
        <w:t>封顶</w:t>
      </w:r>
      <w:r>
        <w:rPr>
          <w:rFonts w:ascii="宋体" w:hAnsi="宋体" w:eastAsia="宋体"/>
          <w:sz w:val="24"/>
          <w:szCs w:val="24"/>
        </w:rPr>
        <w:t>。附加分需经学校专家组认定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57DDD2C4">
      <w:pPr>
        <w:pStyle w:val="22"/>
        <w:spacing w:line="240" w:lineRule="auto"/>
        <w:rPr>
          <w:rFonts w:ascii="宋体" w:hAnsi="宋体" w:eastAsia="宋体"/>
          <w:sz w:val="24"/>
          <w:szCs w:val="24"/>
        </w:rPr>
      </w:pPr>
    </w:p>
    <w:sectPr>
      <w:footerReference r:id="rId3" w:type="default"/>
      <w:pgSz w:w="16838" w:h="11906" w:orient="landscape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5263797"/>
      <w:docPartObj>
        <w:docPartGallery w:val="autotext"/>
      </w:docPartObj>
    </w:sdtPr>
    <w:sdtContent>
      <w:p w14:paraId="43DBC4E5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11D4F12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4A"/>
    <w:rsid w:val="00003701"/>
    <w:rsid w:val="00023154"/>
    <w:rsid w:val="0003775F"/>
    <w:rsid w:val="00050570"/>
    <w:rsid w:val="000614FB"/>
    <w:rsid w:val="000755EA"/>
    <w:rsid w:val="00081B3C"/>
    <w:rsid w:val="00083073"/>
    <w:rsid w:val="00087C53"/>
    <w:rsid w:val="00087E8B"/>
    <w:rsid w:val="000B2781"/>
    <w:rsid w:val="000E207F"/>
    <w:rsid w:val="000E2DE2"/>
    <w:rsid w:val="000F022C"/>
    <w:rsid w:val="000F27C8"/>
    <w:rsid w:val="001051CE"/>
    <w:rsid w:val="00126B56"/>
    <w:rsid w:val="001277CA"/>
    <w:rsid w:val="0016594D"/>
    <w:rsid w:val="00176968"/>
    <w:rsid w:val="00191851"/>
    <w:rsid w:val="00203D03"/>
    <w:rsid w:val="00224067"/>
    <w:rsid w:val="00284066"/>
    <w:rsid w:val="002D1D93"/>
    <w:rsid w:val="002D3E32"/>
    <w:rsid w:val="002F6C19"/>
    <w:rsid w:val="003142D9"/>
    <w:rsid w:val="0033039F"/>
    <w:rsid w:val="00333320"/>
    <w:rsid w:val="00364B57"/>
    <w:rsid w:val="00392D45"/>
    <w:rsid w:val="00396824"/>
    <w:rsid w:val="00396F4C"/>
    <w:rsid w:val="003A5AC5"/>
    <w:rsid w:val="003B6813"/>
    <w:rsid w:val="003C06C3"/>
    <w:rsid w:val="003D08D6"/>
    <w:rsid w:val="003D1022"/>
    <w:rsid w:val="003D1EC0"/>
    <w:rsid w:val="003F2CA0"/>
    <w:rsid w:val="003F51B4"/>
    <w:rsid w:val="004224A9"/>
    <w:rsid w:val="004429F7"/>
    <w:rsid w:val="00461671"/>
    <w:rsid w:val="00472328"/>
    <w:rsid w:val="0048326A"/>
    <w:rsid w:val="004901D8"/>
    <w:rsid w:val="004F793E"/>
    <w:rsid w:val="005119A6"/>
    <w:rsid w:val="005160BD"/>
    <w:rsid w:val="00525DFF"/>
    <w:rsid w:val="00536D81"/>
    <w:rsid w:val="0055095D"/>
    <w:rsid w:val="0059016A"/>
    <w:rsid w:val="00590E4C"/>
    <w:rsid w:val="005A1D73"/>
    <w:rsid w:val="005A7C9D"/>
    <w:rsid w:val="005B39EC"/>
    <w:rsid w:val="005B7CED"/>
    <w:rsid w:val="005C5BC2"/>
    <w:rsid w:val="005D6461"/>
    <w:rsid w:val="005E4E4D"/>
    <w:rsid w:val="005F634E"/>
    <w:rsid w:val="00600084"/>
    <w:rsid w:val="00604D5F"/>
    <w:rsid w:val="0061169B"/>
    <w:rsid w:val="00627B23"/>
    <w:rsid w:val="00630C69"/>
    <w:rsid w:val="006846B9"/>
    <w:rsid w:val="00685376"/>
    <w:rsid w:val="006B40E8"/>
    <w:rsid w:val="006E0A49"/>
    <w:rsid w:val="007559A3"/>
    <w:rsid w:val="00757BAD"/>
    <w:rsid w:val="00783140"/>
    <w:rsid w:val="00795765"/>
    <w:rsid w:val="007A71F1"/>
    <w:rsid w:val="007C1588"/>
    <w:rsid w:val="007C7839"/>
    <w:rsid w:val="008052BE"/>
    <w:rsid w:val="00824C59"/>
    <w:rsid w:val="0086024C"/>
    <w:rsid w:val="0086291C"/>
    <w:rsid w:val="0089245F"/>
    <w:rsid w:val="008C6DE3"/>
    <w:rsid w:val="008E6BA7"/>
    <w:rsid w:val="008F130E"/>
    <w:rsid w:val="00903DB8"/>
    <w:rsid w:val="00910BC8"/>
    <w:rsid w:val="009560AE"/>
    <w:rsid w:val="0096064E"/>
    <w:rsid w:val="009609DB"/>
    <w:rsid w:val="009620C6"/>
    <w:rsid w:val="00964A2D"/>
    <w:rsid w:val="009A21DB"/>
    <w:rsid w:val="009C4B8B"/>
    <w:rsid w:val="009D4D66"/>
    <w:rsid w:val="009E55C9"/>
    <w:rsid w:val="00A12829"/>
    <w:rsid w:val="00A12E55"/>
    <w:rsid w:val="00A34BD5"/>
    <w:rsid w:val="00A744AD"/>
    <w:rsid w:val="00A75FEC"/>
    <w:rsid w:val="00A77B7F"/>
    <w:rsid w:val="00A8418C"/>
    <w:rsid w:val="00A933A0"/>
    <w:rsid w:val="00AC1A59"/>
    <w:rsid w:val="00AC550E"/>
    <w:rsid w:val="00AD6D09"/>
    <w:rsid w:val="00AE7435"/>
    <w:rsid w:val="00AF2C98"/>
    <w:rsid w:val="00B028B5"/>
    <w:rsid w:val="00B04DDC"/>
    <w:rsid w:val="00B118F4"/>
    <w:rsid w:val="00B162A7"/>
    <w:rsid w:val="00B2638A"/>
    <w:rsid w:val="00B41E7D"/>
    <w:rsid w:val="00B558B1"/>
    <w:rsid w:val="00B5624D"/>
    <w:rsid w:val="00B65523"/>
    <w:rsid w:val="00B7596F"/>
    <w:rsid w:val="00BA28C4"/>
    <w:rsid w:val="00BA454E"/>
    <w:rsid w:val="00BD4508"/>
    <w:rsid w:val="00BE304F"/>
    <w:rsid w:val="00BF1E87"/>
    <w:rsid w:val="00C20C62"/>
    <w:rsid w:val="00C337AB"/>
    <w:rsid w:val="00C427D3"/>
    <w:rsid w:val="00C647E0"/>
    <w:rsid w:val="00C8341C"/>
    <w:rsid w:val="00CA2C46"/>
    <w:rsid w:val="00CA6EE3"/>
    <w:rsid w:val="00CC6F4A"/>
    <w:rsid w:val="00D43117"/>
    <w:rsid w:val="00D51CD6"/>
    <w:rsid w:val="00DD1F41"/>
    <w:rsid w:val="00DD444E"/>
    <w:rsid w:val="00DF76D3"/>
    <w:rsid w:val="00E01BE1"/>
    <w:rsid w:val="00E272B0"/>
    <w:rsid w:val="00E35C95"/>
    <w:rsid w:val="00E37158"/>
    <w:rsid w:val="00E41BAE"/>
    <w:rsid w:val="00E43FC6"/>
    <w:rsid w:val="00E61134"/>
    <w:rsid w:val="00E66600"/>
    <w:rsid w:val="00E724BB"/>
    <w:rsid w:val="00E75038"/>
    <w:rsid w:val="00E82818"/>
    <w:rsid w:val="00E84DEF"/>
    <w:rsid w:val="00EA0C11"/>
    <w:rsid w:val="00EA286F"/>
    <w:rsid w:val="00EE34C9"/>
    <w:rsid w:val="00EF120C"/>
    <w:rsid w:val="00EF24CB"/>
    <w:rsid w:val="00F01B53"/>
    <w:rsid w:val="00F16FF9"/>
    <w:rsid w:val="00F17139"/>
    <w:rsid w:val="00F239FB"/>
    <w:rsid w:val="00F3517B"/>
    <w:rsid w:val="00F64438"/>
    <w:rsid w:val="00F737C9"/>
    <w:rsid w:val="00F74929"/>
    <w:rsid w:val="00F961BE"/>
    <w:rsid w:val="00F96AC9"/>
    <w:rsid w:val="00FE2156"/>
    <w:rsid w:val="02E575B5"/>
    <w:rsid w:val="03806F86"/>
    <w:rsid w:val="0C045364"/>
    <w:rsid w:val="11C02D09"/>
    <w:rsid w:val="143A1F16"/>
    <w:rsid w:val="177B5642"/>
    <w:rsid w:val="185C60B2"/>
    <w:rsid w:val="19A812D8"/>
    <w:rsid w:val="1EA410C0"/>
    <w:rsid w:val="220628F4"/>
    <w:rsid w:val="23031A75"/>
    <w:rsid w:val="335009C4"/>
    <w:rsid w:val="394B4083"/>
    <w:rsid w:val="3BD531A6"/>
    <w:rsid w:val="3C3720E7"/>
    <w:rsid w:val="3CF947C0"/>
    <w:rsid w:val="499155BB"/>
    <w:rsid w:val="4C1A51E9"/>
    <w:rsid w:val="503B1837"/>
    <w:rsid w:val="50DB36C9"/>
    <w:rsid w:val="52B50ECE"/>
    <w:rsid w:val="5BEA6599"/>
    <w:rsid w:val="61F65F76"/>
    <w:rsid w:val="64A81A7D"/>
    <w:rsid w:val="6C6D5692"/>
    <w:rsid w:val="784D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cs="Times New Roman" w:eastAsiaTheme="minorEastAsia"/>
      <w:lang w:val="en-US" w:eastAsia="zh-CN" w:bidi="ar-SA"/>
    </w:rPr>
  </w:style>
  <w:style w:type="paragraph" w:styleId="2">
    <w:name w:val="heading 1"/>
    <w:next w:val="1"/>
    <w:qFormat/>
    <w:uiPriority w:val="9"/>
    <w:pPr>
      <w:spacing w:before="380" w:after="140" w:line="288" w:lineRule="auto"/>
      <w:outlineLvl w:val="0"/>
    </w:pPr>
    <w:rPr>
      <w:rFonts w:ascii="Arial" w:hAnsi="Arial" w:eastAsia="等线" w:cs="Arial"/>
      <w:b/>
      <w:bCs/>
      <w:sz w:val="36"/>
      <w:szCs w:val="36"/>
      <w:lang w:val="en-US" w:eastAsia="zh-CN" w:bidi="ar-SA"/>
    </w:rPr>
  </w:style>
  <w:style w:type="paragraph" w:styleId="3">
    <w:name w:val="heading 2"/>
    <w:next w:val="1"/>
    <w:unhideWhenUsed/>
    <w:qFormat/>
    <w:uiPriority w:val="9"/>
    <w:pPr>
      <w:spacing w:before="320" w:after="120" w:line="288" w:lineRule="auto"/>
      <w:outlineLvl w:val="1"/>
    </w:pPr>
    <w:rPr>
      <w:rFonts w:ascii="Arial" w:hAnsi="Arial" w:eastAsia="等线" w:cs="Arial"/>
      <w:b/>
      <w:bCs/>
      <w:sz w:val="32"/>
      <w:szCs w:val="32"/>
      <w:lang w:val="en-US" w:eastAsia="zh-CN" w:bidi="ar-SA"/>
    </w:rPr>
  </w:style>
  <w:style w:type="paragraph" w:styleId="4">
    <w:name w:val="heading 3"/>
    <w:next w:val="1"/>
    <w:unhideWhenUsed/>
    <w:qFormat/>
    <w:uiPriority w:val="9"/>
    <w:pPr>
      <w:spacing w:before="300" w:after="120" w:line="288" w:lineRule="auto"/>
      <w:outlineLvl w:val="2"/>
    </w:pPr>
    <w:rPr>
      <w:rFonts w:ascii="Arial" w:hAnsi="Arial" w:eastAsia="等线" w:cs="Arial"/>
      <w:b/>
      <w:bCs/>
      <w:sz w:val="30"/>
      <w:szCs w:val="30"/>
      <w:lang w:val="en-US" w:eastAsia="zh-CN" w:bidi="ar-SA"/>
    </w:rPr>
  </w:style>
  <w:style w:type="paragraph" w:styleId="5">
    <w:name w:val="heading 4"/>
    <w:next w:val="1"/>
    <w:semiHidden/>
    <w:unhideWhenUsed/>
    <w:qFormat/>
    <w:uiPriority w:val="9"/>
    <w:pPr>
      <w:spacing w:before="260" w:after="120" w:line="288" w:lineRule="auto"/>
      <w:outlineLvl w:val="3"/>
    </w:pPr>
    <w:rPr>
      <w:rFonts w:ascii="Arial" w:hAnsi="Arial" w:eastAsia="等线" w:cs="Arial"/>
      <w:b/>
      <w:bCs/>
      <w:sz w:val="28"/>
      <w:szCs w:val="28"/>
      <w:lang w:val="en-US" w:eastAsia="zh-CN" w:bidi="ar-SA"/>
    </w:rPr>
  </w:style>
  <w:style w:type="paragraph" w:styleId="6">
    <w:name w:val="heading 5"/>
    <w:next w:val="1"/>
    <w:semiHidden/>
    <w:unhideWhenUsed/>
    <w:qFormat/>
    <w:uiPriority w:val="9"/>
    <w:pPr>
      <w:spacing w:before="240" w:after="120" w:line="288" w:lineRule="auto"/>
      <w:outlineLvl w:val="4"/>
    </w:pPr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paragraph" w:styleId="7">
    <w:name w:val="heading 6"/>
    <w:next w:val="1"/>
    <w:semiHidden/>
    <w:unhideWhenUsed/>
    <w:qFormat/>
    <w:uiPriority w:val="9"/>
    <w:pPr>
      <w:spacing w:before="240" w:after="120" w:line="288" w:lineRule="auto"/>
      <w:outlineLvl w:val="5"/>
    </w:pPr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link w:val="26"/>
    <w:semiHidden/>
    <w:unhideWhenUsed/>
    <w:qFormat/>
    <w:uiPriority w:val="99"/>
  </w:style>
  <w:style w:type="paragraph" w:styleId="9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link w:val="21"/>
    <w:semiHidden/>
    <w:unhideWhenUsed/>
    <w:qFormat/>
    <w:uiPriority w:val="99"/>
    <w:rPr>
      <w:rFonts w:ascii="Times New Roman" w:hAnsi="Times New Roman" w:cs="Times New Roman" w:eastAsiaTheme="minorEastAsia"/>
      <w:lang w:val="en-US" w:eastAsia="zh-CN" w:bidi="ar-SA"/>
    </w:rPr>
  </w:style>
  <w:style w:type="paragraph" w:styleId="12">
    <w:name w:val="Title"/>
    <w:qFormat/>
    <w:uiPriority w:val="10"/>
    <w:pPr>
      <w:spacing w:before="480" w:after="480" w:line="288" w:lineRule="auto"/>
    </w:pPr>
    <w:rPr>
      <w:rFonts w:ascii="Arial" w:hAnsi="Arial" w:eastAsia="等线" w:cs="Arial"/>
      <w:b/>
      <w:bCs/>
      <w:sz w:val="52"/>
      <w:szCs w:val="52"/>
      <w:lang w:val="en-US" w:eastAsia="zh-CN" w:bidi="ar-SA"/>
    </w:rPr>
  </w:style>
  <w:style w:type="paragraph" w:styleId="13">
    <w:name w:val="annotation subject"/>
    <w:basedOn w:val="8"/>
    <w:next w:val="8"/>
    <w:link w:val="27"/>
    <w:semiHidden/>
    <w:unhideWhenUsed/>
    <w:qFormat/>
    <w:uiPriority w:val="99"/>
    <w:rPr>
      <w:b/>
      <w:bCs/>
    </w:rPr>
  </w:style>
  <w:style w:type="character" w:styleId="16">
    <w:name w:val="Hyperlink"/>
    <w:unhideWhenUsed/>
    <w:qFormat/>
    <w:uiPriority w:val="99"/>
    <w:rPr>
      <w:color w:val="0563C1"/>
      <w:u w:val="single"/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styleId="18">
    <w:name w:val="footnote reference"/>
    <w:semiHidden/>
    <w:unhideWhenUsed/>
    <w:qFormat/>
    <w:uiPriority w:val="99"/>
    <w:rPr>
      <w:vertAlign w:val="superscript"/>
    </w:rPr>
  </w:style>
  <w:style w:type="paragraph" w:customStyle="1" w:styleId="19">
    <w:name w:val="要点1"/>
    <w:qFormat/>
    <w:uiPriority w:val="0"/>
    <w:rPr>
      <w:rFonts w:ascii="Times New Roman" w:hAnsi="Times New Roman" w:cs="Times New Roman" w:eastAsiaTheme="minorEastAsia"/>
      <w:b/>
      <w:bCs/>
      <w:lang w:val="en-US" w:eastAsia="zh-CN" w:bidi="ar-SA"/>
    </w:rPr>
  </w:style>
  <w:style w:type="paragraph" w:styleId="20">
    <w:name w:val="List Paragraph"/>
    <w:qFormat/>
    <w:uiPriority w:val="0"/>
    <w:rPr>
      <w:rFonts w:ascii="Times New Roman" w:hAnsi="Times New Roman" w:cs="Times New Roman" w:eastAsiaTheme="minorEastAsia"/>
      <w:lang w:val="en-US" w:eastAsia="zh-CN" w:bidi="ar-SA"/>
    </w:rPr>
  </w:style>
  <w:style w:type="character" w:customStyle="1" w:styleId="21">
    <w:name w:val="脚注文本 字符"/>
    <w:link w:val="11"/>
    <w:semiHidden/>
    <w:unhideWhenUsed/>
    <w:qFormat/>
    <w:uiPriority w:val="99"/>
    <w:rPr>
      <w:sz w:val="20"/>
      <w:szCs w:val="20"/>
    </w:rPr>
  </w:style>
  <w:style w:type="paragraph" w:customStyle="1" w:styleId="22">
    <w:name w:val="2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  <w:style w:type="paragraph" w:customStyle="1" w:styleId="23">
    <w:name w:val="1"/>
    <w:qFormat/>
    <w:uiPriority w:val="0"/>
    <w:pPr>
      <w:spacing w:before="120" w:after="120" w:line="288" w:lineRule="auto"/>
    </w:pPr>
    <w:rPr>
      <w:rFonts w:ascii="Arial" w:hAnsi="Arial" w:eastAsia="等线" w:cs="Arial"/>
      <w:color w:val="8F959E"/>
      <w:sz w:val="22"/>
      <w:szCs w:val="22"/>
      <w:lang w:val="en-US" w:eastAsia="zh-CN" w:bidi="ar-SA"/>
    </w:rPr>
  </w:style>
  <w:style w:type="character" w:customStyle="1" w:styleId="24">
    <w:name w:val="页眉 字符"/>
    <w:basedOn w:val="15"/>
    <w:link w:val="10"/>
    <w:qFormat/>
    <w:uiPriority w:val="99"/>
    <w:rPr>
      <w:sz w:val="18"/>
      <w:szCs w:val="18"/>
    </w:rPr>
  </w:style>
  <w:style w:type="character" w:customStyle="1" w:styleId="25">
    <w:name w:val="页脚 字符"/>
    <w:basedOn w:val="15"/>
    <w:link w:val="9"/>
    <w:qFormat/>
    <w:uiPriority w:val="99"/>
    <w:rPr>
      <w:sz w:val="18"/>
      <w:szCs w:val="18"/>
    </w:rPr>
  </w:style>
  <w:style w:type="character" w:customStyle="1" w:styleId="26">
    <w:name w:val="批注文字 字符"/>
    <w:basedOn w:val="15"/>
    <w:link w:val="8"/>
    <w:semiHidden/>
    <w:uiPriority w:val="99"/>
  </w:style>
  <w:style w:type="character" w:customStyle="1" w:styleId="27">
    <w:name w:val="批注主题 字符"/>
    <w:basedOn w:val="26"/>
    <w:link w:val="13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5</Pages>
  <Words>2537</Words>
  <Characters>2616</Characters>
  <Lines>154</Lines>
  <Paragraphs>88</Paragraphs>
  <TotalTime>11</TotalTime>
  <ScaleCrop>false</ScaleCrop>
  <LinksUpToDate>false</LinksUpToDate>
  <CharactersWithSpaces>2622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2025-08-13T06:48:00Z</dcterms:created>
  <dc:creator>Un-named</dc:creator>
  <cp:lastModifiedBy>土豆</cp:lastModifiedBy>
  <cp:lastPrinted>2025-08-13T03:37:00Z</cp:lastPrinted>
  <dcterms:modified xsi:type="dcterms:W3CDTF">2025-09-01T06:02:20Z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eyJoZGlkIjoiM2ZiN2YzNTgzMzAwMjBlYzRjMzY1ZjAzNzA3MjVjZDIiLCJ1c2VySWQiOiIxMTI1MzI0OTQ3In0=</vt:lpwstr>
  </property>
  <property fmtid="{D5CDD505-2E9C-101B-9397-08002B2CF9AE}" pid="3" name="KSOProductBuildVer">
    <vt:lpwstr>2052-12.1.0.22529</vt:lpwstr>
  </property>
  <property fmtid="{D5CDD505-2E9C-101B-9397-08002B2CF9AE}" pid="4" name="ICV">
    <vt:lpwstr>C77FC57587AF4C6CA2BBF9B42F54E746_13</vt:lpwstr>
  </property>
</Properties>
</file>