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03CA" w14:textId="7D82DE3E" w:rsidR="005359FD" w:rsidRPr="0096051E" w:rsidRDefault="00000000">
      <w:pPr>
        <w:widowControl/>
        <w:contextualSpacing/>
        <w:rPr>
          <w:rFonts w:ascii="仿宋_GB2312" w:eastAsia="仿宋_GB2312" w:hAnsi="微软雅黑" w:cs="宋体"/>
          <w:kern w:val="0"/>
          <w:szCs w:val="21"/>
        </w:rPr>
      </w:pPr>
      <w:r w:rsidRPr="0096051E">
        <w:rPr>
          <w:rFonts w:ascii="仿宋_GB2312" w:eastAsia="仿宋_GB2312" w:hAnsi="微软雅黑" w:cs="宋体" w:hint="eastAsia"/>
          <w:kern w:val="0"/>
          <w:szCs w:val="21"/>
        </w:rPr>
        <w:t>附件</w:t>
      </w:r>
      <w:r w:rsidR="00806845" w:rsidRPr="0096051E">
        <w:rPr>
          <w:rFonts w:ascii="仿宋_GB2312" w:eastAsia="仿宋_GB2312" w:hAnsi="微软雅黑" w:cs="宋体" w:hint="eastAsia"/>
          <w:kern w:val="0"/>
          <w:szCs w:val="21"/>
        </w:rPr>
        <w:t>1</w:t>
      </w:r>
      <w:r w:rsidRPr="0096051E">
        <w:rPr>
          <w:rFonts w:ascii="仿宋_GB2312" w:eastAsia="仿宋_GB2312" w:hAnsi="微软雅黑" w:cs="宋体" w:hint="eastAsia"/>
          <w:kern w:val="0"/>
          <w:szCs w:val="21"/>
        </w:rPr>
        <w:t>：</w:t>
      </w:r>
    </w:p>
    <w:p w14:paraId="1B8E182E" w14:textId="77777777" w:rsidR="005359FD" w:rsidRDefault="00000000">
      <w:pPr>
        <w:widowControl/>
        <w:contextualSpacing/>
        <w:jc w:val="center"/>
        <w:rPr>
          <w:rFonts w:ascii="仿宋_GB2312" w:eastAsia="仿宋_GB2312" w:hAnsi="微软雅黑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南京审计大学金审学院2023年校级一流课程立项建设名单</w:t>
      </w:r>
    </w:p>
    <w:tbl>
      <w:tblPr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2202"/>
        <w:gridCol w:w="2754"/>
        <w:gridCol w:w="1860"/>
        <w:gridCol w:w="1201"/>
      </w:tblGrid>
      <w:tr w:rsidR="005359FD" w14:paraId="294858EB" w14:textId="77777777" w:rsidTr="003A3E0B">
        <w:trPr>
          <w:trHeight w:val="762"/>
          <w:tblHeader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567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课程编号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316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274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课程类型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364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课程负责人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A5E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建设经费（元）</w:t>
            </w:r>
          </w:p>
        </w:tc>
      </w:tr>
      <w:tr w:rsidR="005359FD" w14:paraId="13D2B2D3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015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5BD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37C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B45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张春艳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0380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499ABC82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FE6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8BC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注册会计师审计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488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66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仲怀公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189A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0D3415C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B63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766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高级财务会计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356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021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胡爱平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0E2A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644F6147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3E7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1F1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财务报表分析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8B1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500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陶思奇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E898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1A70466C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BB1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E9C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会计学基础（双语）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2B6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51F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sz w:val="22"/>
                <w:szCs w:val="22"/>
                <w:lang w:bidi="ar"/>
              </w:rPr>
              <w:t>张驰、叶</w:t>
            </w: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子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CBE72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289A1ABF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62F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883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宏观经济学（4学分）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371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70A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王玲侠、杨新房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6B35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2602422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CFA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115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微观经济学（4学分）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D7A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D91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谢海燕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31743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23780605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E81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CB7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金融学（4学分）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4E4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B11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蔡则祥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EC13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20CB96FE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C4E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2023YLKC09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EE7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中国税制(4学分)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09D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CA6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王洪艳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7C63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0ABBA9F2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5E43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F33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国际贸易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500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297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杨新房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D98C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D7CCA3D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68A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A4C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保险学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C17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8AC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宋志刚、施懿文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8F0D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</w:tr>
      <w:tr w:rsidR="005359FD" w14:paraId="49B571D6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675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64F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跨境电商理论与实务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762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CF7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韦晨、谢海燕 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C20D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5359FD" w14:paraId="445D5471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F76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3FD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C9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7B4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章国美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1BD6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EE1F0B3" w14:textId="77777777">
        <w:trPr>
          <w:trHeight w:val="5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5C7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7D9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逻辑学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492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063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杜霞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ECD9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6D1F51C2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CA9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A1E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经济法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F00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4A3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王美惠子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07FA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4CEB1C20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82F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824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管理学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558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DCF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宋薇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2A1E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1040B2F8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CA6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600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行政组织学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FC9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D7D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季媛媛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91D2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6EDA22B9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9E5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2023YLKC18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966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不动产评估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874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2F1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刘舒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C7B1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B15E2DE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149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2023YLKC19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72D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D7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11F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61"/>
                <w:rFonts w:ascii="宋体" w:eastAsia="宋体" w:hAnsi="宋体" w:cs="宋体" w:hint="eastAsia"/>
                <w:sz w:val="22"/>
                <w:szCs w:val="22"/>
                <w:lang w:bidi="ar"/>
              </w:rPr>
              <w:t>林梓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5EC4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25ABE9FD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234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69A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电子取证技术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20F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54D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刘军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1621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5359FD" w14:paraId="71E19B39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512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E82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401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977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周张泉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2123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5359FD" w14:paraId="0BA1D2A5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D26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1E53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移动应用开发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2CB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7AA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刘力军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D8E1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5359FD" w14:paraId="39686EDB" w14:textId="77777777">
        <w:trPr>
          <w:trHeight w:val="64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AAD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6B4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计算机网络原理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114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虚拟仿真实验教学一流课程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C69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芮立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2C41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0E951617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A79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2CF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信息分析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E8F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线上线下混合式一流课程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F34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王纪萍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565F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6BC79C22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18A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275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数据采集与审计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4E6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A88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彭爱梅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BE89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6DDE77D1" w14:textId="77777777">
        <w:trPr>
          <w:trHeight w:val="12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C10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335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幼儿园活动设计与指导二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58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48D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ascii="宋体" w:eastAsia="宋体" w:hAnsi="宋体" w:cs="宋体" w:hint="eastAsia"/>
                <w:sz w:val="22"/>
                <w:szCs w:val="22"/>
                <w:lang w:bidi="ar"/>
              </w:rPr>
              <w:t>谢方圆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F69E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4E62C269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6FE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EF2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学前儿童发展心理学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474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000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31"/>
                <w:rFonts w:ascii="宋体" w:eastAsia="宋体" w:hAnsi="宋体" w:cs="宋体" w:hint="eastAsia"/>
                <w:sz w:val="22"/>
                <w:szCs w:val="22"/>
                <w:lang w:bidi="ar"/>
              </w:rPr>
              <w:t>李新月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B03E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D59D64C" w14:textId="77777777">
        <w:trPr>
          <w:trHeight w:val="85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273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202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设计素描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5FD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8A6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王鸣义、朱虹、朱小红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D8BD3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42402621" w14:textId="77777777">
        <w:trPr>
          <w:trHeight w:val="101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07B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2023YLKC29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A73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设计基础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B73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5E19" w14:textId="3E279F5E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唐青、朱小红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4D51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30910B6C" w14:textId="77777777">
        <w:trPr>
          <w:trHeight w:val="9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981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2023YLKC30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0EA9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设计概论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54D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A81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吕游、陈良梅、郭立春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5D74A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5A4D7CB1" w14:textId="77777777">
        <w:trPr>
          <w:trHeight w:val="76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0A65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2023YLKC31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AE9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新媒体艺术基础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BD6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F24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姚璐、唐青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49FA6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6D5E8395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86E3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2023YLKC32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A49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图标设计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B41B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产教融合型一流课程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50D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唐青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62AA3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5359FD" w14:paraId="7365EDC8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D93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2023YLKC33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4CED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应用文写作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D9F2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D514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孔令涛、黄鹂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E5B0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4501FF70" w14:textId="77777777">
        <w:trPr>
          <w:trHeight w:val="63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093E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2023YLKC34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6578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微积分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6D2F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6D94" w14:textId="169CD3DD" w:rsidR="005359FD" w:rsidRDefault="008237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2374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蔡伟、张培培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1A7E0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  <w:tr w:rsidR="005359FD" w14:paraId="544F04F0" w14:textId="77777777">
        <w:trPr>
          <w:trHeight w:val="646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34F7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2023YLKC35</w:t>
            </w:r>
          </w:p>
        </w:tc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9DA4C" w14:textId="77777777" w:rsidR="005359FD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51"/>
                <w:rFonts w:ascii="宋体" w:eastAsia="宋体" w:hAnsi="宋体" w:cs="宋体" w:hint="eastAsia"/>
                <w:sz w:val="22"/>
                <w:szCs w:val="22"/>
                <w:lang w:bidi="ar"/>
              </w:rPr>
              <w:t>大学英语（上、下）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651C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线下一流课程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B24B" w14:textId="439361D3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凤娇</w:t>
            </w:r>
            <w:r w:rsidR="0031492E" w:rsidRPr="0031492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、杨宁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3E041" w14:textId="77777777" w:rsidR="005359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</w:tr>
    </w:tbl>
    <w:p w14:paraId="767D5788" w14:textId="77777777" w:rsidR="005359FD" w:rsidRDefault="005359FD"/>
    <w:sectPr w:rsidR="0053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5439" w14:textId="77777777" w:rsidR="00025880" w:rsidRDefault="00025880" w:rsidP="00744638">
      <w:r>
        <w:separator/>
      </w:r>
    </w:p>
  </w:endnote>
  <w:endnote w:type="continuationSeparator" w:id="0">
    <w:p w14:paraId="42492313" w14:textId="77777777" w:rsidR="00025880" w:rsidRDefault="00025880" w:rsidP="0074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459F" w14:textId="77777777" w:rsidR="00025880" w:rsidRDefault="00025880" w:rsidP="00744638">
      <w:r>
        <w:separator/>
      </w:r>
    </w:p>
  </w:footnote>
  <w:footnote w:type="continuationSeparator" w:id="0">
    <w:p w14:paraId="7EB3A322" w14:textId="77777777" w:rsidR="00025880" w:rsidRDefault="00025880" w:rsidP="0074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5359FD"/>
    <w:rsid w:val="00025880"/>
    <w:rsid w:val="00114DC3"/>
    <w:rsid w:val="002211F4"/>
    <w:rsid w:val="0031492E"/>
    <w:rsid w:val="003A3E0B"/>
    <w:rsid w:val="003C7527"/>
    <w:rsid w:val="003F0572"/>
    <w:rsid w:val="004442D3"/>
    <w:rsid w:val="005359FD"/>
    <w:rsid w:val="00727D4E"/>
    <w:rsid w:val="00744638"/>
    <w:rsid w:val="00806845"/>
    <w:rsid w:val="00823744"/>
    <w:rsid w:val="008D5C70"/>
    <w:rsid w:val="0096051E"/>
    <w:rsid w:val="00FE032B"/>
    <w:rsid w:val="053D1BCE"/>
    <w:rsid w:val="0B0E131B"/>
    <w:rsid w:val="0C717EEB"/>
    <w:rsid w:val="0D696CDD"/>
    <w:rsid w:val="119A668A"/>
    <w:rsid w:val="131C20FB"/>
    <w:rsid w:val="15C84889"/>
    <w:rsid w:val="20000DDB"/>
    <w:rsid w:val="205904EB"/>
    <w:rsid w:val="22666F57"/>
    <w:rsid w:val="23795576"/>
    <w:rsid w:val="25C805EC"/>
    <w:rsid w:val="357E682B"/>
    <w:rsid w:val="387F3E27"/>
    <w:rsid w:val="42D737C5"/>
    <w:rsid w:val="43994F1E"/>
    <w:rsid w:val="46921ECA"/>
    <w:rsid w:val="4F3D2C02"/>
    <w:rsid w:val="57A8352A"/>
    <w:rsid w:val="5B242EC8"/>
    <w:rsid w:val="5CD1707F"/>
    <w:rsid w:val="5D3D6072"/>
    <w:rsid w:val="64E345D0"/>
    <w:rsid w:val="78A86E0C"/>
    <w:rsid w:val="7C8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084C8"/>
  <w15:docId w15:val="{CC1CD37B-CB6C-4FC5-B043-7950B5D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spacing w:line="360" w:lineRule="auto"/>
      <w:outlineLvl w:val="0"/>
    </w:pPr>
    <w:rPr>
      <w:rFonts w:ascii="MingLiU" w:eastAsia="宋体" w:hAnsi="MingLiU" w:cs="宋体"/>
      <w:b/>
      <w:bCs/>
      <w:color w:val="000000"/>
      <w:sz w:val="28"/>
      <w:szCs w:val="2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ind w:firstLineChars="200" w:firstLine="88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rPr>
      <w:rFonts w:ascii="MingLiU" w:eastAsia="宋体" w:hAnsi="MingLiU" w:cs="宋体" w:hint="default"/>
      <w:b/>
      <w:bCs/>
      <w:color w:val="000000"/>
      <w:sz w:val="28"/>
      <w:szCs w:val="28"/>
    </w:rPr>
  </w:style>
  <w:style w:type="character" w:customStyle="1" w:styleId="font51">
    <w:name w:val="font5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rPr>
      <w:rFonts w:ascii="仿宋_GB2312" w:eastAsia="仿宋_GB2312" w:cs="仿宋_GB2312" w:hint="default"/>
      <w:color w:val="000000"/>
      <w:sz w:val="30"/>
      <w:szCs w:val="30"/>
      <w:u w:val="none"/>
    </w:rPr>
  </w:style>
  <w:style w:type="paragraph" w:styleId="a3">
    <w:name w:val="header"/>
    <w:basedOn w:val="a"/>
    <w:link w:val="a4"/>
    <w:rsid w:val="007446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44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4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44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833</Characters>
  <Application>Microsoft Office Word</Application>
  <DocSecurity>0</DocSecurity>
  <Lines>138</Lines>
  <Paragraphs>195</Paragraphs>
  <ScaleCrop>false</ScaleCrop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zhousha</dc:creator>
  <cp:lastModifiedBy>Janae dong</cp:lastModifiedBy>
  <cp:revision>8</cp:revision>
  <dcterms:created xsi:type="dcterms:W3CDTF">2014-10-29T12:08:00Z</dcterms:created>
  <dcterms:modified xsi:type="dcterms:W3CDTF">2025-09-16T09:10:00Z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1F38FE069C88401C8DF4D2EB8F32F6A8_13</vt:lpwstr>
  </property>
</Properties>
</file>