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6D4F9">
      <w:pPr>
        <w:pStyle w:val="23"/>
      </w:pPr>
      <w:bookmarkStart w:id="0" w:name="_GoBack"/>
      <w:r>
        <w:rPr>
          <w:rFonts w:hint="eastAsia"/>
        </w:rPr>
        <w:t>南京审计大学金审学院</w:t>
      </w:r>
    </w:p>
    <w:p w14:paraId="0115058A">
      <w:pPr>
        <w:pStyle w:val="23"/>
      </w:pPr>
      <w:r>
        <w:rPr>
          <w:rFonts w:hint="eastAsia"/>
        </w:rPr>
        <w:t>学年论文（设计）实施细则</w:t>
      </w:r>
    </w:p>
    <w:bookmarkEnd w:id="0"/>
    <w:p w14:paraId="44796E91">
      <w:pPr>
        <w:pStyle w:val="26"/>
        <w:spacing w:after="312" w:afterLines="100"/>
        <w:rPr>
          <w:shd w:val="clear" w:color="auto" w:fill="FFFFFF"/>
          <w:lang w:bidi="ar"/>
        </w:rPr>
      </w:pPr>
      <w:r>
        <w:rPr>
          <w:rFonts w:hint="eastAsia"/>
          <w:shd w:val="clear" w:color="auto" w:fill="FFFFFF"/>
          <w:lang w:bidi="ar"/>
        </w:rPr>
        <w:t>教务﹝2024﹞120号</w:t>
      </w:r>
    </w:p>
    <w:p w14:paraId="04E64F7B">
      <w:pPr>
        <w:pStyle w:val="27"/>
        <w:ind w:firstLine="560"/>
      </w:pPr>
      <w:r>
        <w:rPr>
          <w:rFonts w:hint="eastAsia"/>
        </w:rPr>
        <w:t>为加强学生的科学研究训练，规范学年论文（设计）工作，结合学校实际，特制定本实施细则。</w:t>
      </w:r>
    </w:p>
    <w:p w14:paraId="1283C5F4">
      <w:pPr>
        <w:pStyle w:val="24"/>
        <w:spacing w:before="120" w:after="120"/>
        <w:ind w:firstLine="560"/>
        <w:rPr>
          <w:rStyle w:val="16"/>
          <w:b w:val="0"/>
          <w:bCs w:val="0"/>
        </w:rPr>
      </w:pPr>
      <w:r>
        <w:rPr>
          <w:rStyle w:val="16"/>
          <w:rFonts w:hint="eastAsia"/>
          <w:b w:val="0"/>
          <w:kern w:val="0"/>
        </w:rPr>
        <w:t>一、学年论文（设计）教学目的</w:t>
      </w:r>
    </w:p>
    <w:p w14:paraId="644DD1D1">
      <w:pPr>
        <w:pStyle w:val="27"/>
        <w:ind w:firstLine="560"/>
      </w:pPr>
      <w:r>
        <w:rPr>
          <w:rFonts w:hint="eastAsia"/>
        </w:rPr>
        <w:t>学年论文（设计）工作是教学过程中的重要环节，是教学计划的重要组成部分。学年论文（设计）写作实践，旨在培养学生运用所学知识分析和解决问题的能力，提升学生在调查研究、社会实践、资料文献查阅、理论分析、论文撰写、</w:t>
      </w:r>
      <w:r>
        <w:rPr>
          <w:rFonts w:hint="eastAsia" w:hAnsi="宋体"/>
        </w:rPr>
        <w:t>科学研究</w:t>
      </w:r>
      <w:r>
        <w:rPr>
          <w:rFonts w:hint="eastAsia"/>
        </w:rPr>
        <w:t>等方面的水平，</w:t>
      </w:r>
      <w:r>
        <w:rPr>
          <w:rFonts w:hint="eastAsia" w:hAnsi="宋体"/>
        </w:rPr>
        <w:t>为进一步深化专业学习和高质量地完成毕业论文（设计）奠定坚实的基础。</w:t>
      </w:r>
    </w:p>
    <w:p w14:paraId="18773743">
      <w:pPr>
        <w:pStyle w:val="24"/>
        <w:spacing w:before="120" w:after="120"/>
        <w:ind w:firstLine="560"/>
        <w:rPr>
          <w:rStyle w:val="16"/>
          <w:b w:val="0"/>
          <w:kern w:val="0"/>
        </w:rPr>
      </w:pPr>
      <w:r>
        <w:rPr>
          <w:rStyle w:val="16"/>
          <w:rFonts w:hint="eastAsia"/>
          <w:b w:val="0"/>
          <w:kern w:val="0"/>
        </w:rPr>
        <w:t>二、学年论文（设计）组织管理</w:t>
      </w:r>
    </w:p>
    <w:p w14:paraId="308FD43E">
      <w:pPr>
        <w:pStyle w:val="27"/>
        <w:ind w:firstLine="560"/>
      </w:pPr>
      <w:r>
        <w:rPr>
          <w:rFonts w:hint="eastAsia"/>
        </w:rPr>
        <w:t>学年论文（设计）实行校、院两级管理体制，教务处对学年论文（设计）进行宏观管理。各学院根据学校要求及自身专业特点，负责学年论文（设计）的具体组织、实施、日常管理和总结等。</w:t>
      </w:r>
    </w:p>
    <w:p w14:paraId="18CE0C44">
      <w:pPr>
        <w:pStyle w:val="24"/>
        <w:spacing w:before="120" w:after="120"/>
        <w:ind w:firstLine="560"/>
        <w:rPr>
          <w:rStyle w:val="16"/>
          <w:b/>
          <w:bCs w:val="0"/>
        </w:rPr>
      </w:pPr>
      <w:r>
        <w:rPr>
          <w:rStyle w:val="16"/>
          <w:rFonts w:hint="eastAsia"/>
          <w:b w:val="0"/>
        </w:rPr>
        <w:t>三、学年论文（设计）基本要求</w:t>
      </w:r>
    </w:p>
    <w:p w14:paraId="33B959F5">
      <w:pPr>
        <w:pStyle w:val="27"/>
        <w:ind w:firstLine="560"/>
      </w:pPr>
      <w:r>
        <w:rPr>
          <w:rFonts w:hint="eastAsia"/>
        </w:rPr>
        <w:t>（一）选题要求</w:t>
      </w:r>
    </w:p>
    <w:p w14:paraId="68BCC9E4">
      <w:pPr>
        <w:pStyle w:val="27"/>
        <w:ind w:firstLine="560"/>
      </w:pPr>
      <w:r>
        <w:rPr>
          <w:rFonts w:hint="eastAsia"/>
        </w:rPr>
        <w:t>各学院召开教学工作会议，落实选题目录的拟定工作，结合系（教研室）主任和专业教师意见，力求选题目录科学合理。根据本学院学生人数，提供1.5倍数量的参考选题题目。选题要求如下：</w:t>
      </w:r>
    </w:p>
    <w:p w14:paraId="2D9A3161">
      <w:pPr>
        <w:pStyle w:val="27"/>
        <w:ind w:firstLine="560"/>
      </w:pPr>
      <w:r>
        <w:rPr>
          <w:rFonts w:hint="eastAsia"/>
        </w:rPr>
        <w:t>1.符合专业培养目标、教学基本要求，体现专业特点，使学生所学知识得到综合运用，思维能力得到全面训练；</w:t>
      </w:r>
    </w:p>
    <w:p w14:paraId="0F653241">
      <w:pPr>
        <w:pStyle w:val="27"/>
        <w:ind w:firstLine="560"/>
      </w:pPr>
      <w:r>
        <w:rPr>
          <w:rFonts w:hint="eastAsia"/>
        </w:rPr>
        <w:t>2.可选择学生所在专业需要研究的问题，或者与其密切相关的课题；</w:t>
      </w:r>
    </w:p>
    <w:p w14:paraId="38459D30">
      <w:pPr>
        <w:pStyle w:val="27"/>
        <w:ind w:firstLine="560"/>
      </w:pPr>
      <w:r>
        <w:rPr>
          <w:rFonts w:hint="eastAsia"/>
        </w:rPr>
        <w:t>3.以恰当、简明的词语反映论文研究主题，文题贴切，简短精炼，若简短题名不足以显示论文内容，可通过副标题进行补充、延伸或限定；</w:t>
      </w:r>
    </w:p>
    <w:p w14:paraId="61AC0F68">
      <w:pPr>
        <w:pStyle w:val="27"/>
        <w:ind w:firstLine="560"/>
      </w:pPr>
      <w:r>
        <w:rPr>
          <w:rFonts w:hint="eastAsia"/>
        </w:rPr>
        <w:t>4.选题不宜过大，避免使用不常见的缩略语、字符代号和公式。</w:t>
      </w:r>
    </w:p>
    <w:p w14:paraId="20D7E1E0">
      <w:pPr>
        <w:pStyle w:val="27"/>
        <w:ind w:firstLine="560"/>
      </w:pPr>
      <w:r>
        <w:rPr>
          <w:rFonts w:hint="eastAsia"/>
        </w:rPr>
        <w:t>（二）质量要求</w:t>
      </w:r>
    </w:p>
    <w:p w14:paraId="150100BB">
      <w:pPr>
        <w:pStyle w:val="27"/>
        <w:ind w:firstLine="560"/>
      </w:pPr>
      <w:r>
        <w:rPr>
          <w:rFonts w:hint="eastAsia"/>
        </w:rPr>
        <w:t>1.学年论文（设计）包括：（1）封面；（2）目录；（3）摘要及关键词；（4）正文；（5）参考文献。</w:t>
      </w:r>
    </w:p>
    <w:p w14:paraId="6285BBCE">
      <w:pPr>
        <w:pStyle w:val="27"/>
        <w:ind w:firstLine="560"/>
      </w:pPr>
      <w:r>
        <w:rPr>
          <w:rFonts w:hint="eastAsia"/>
        </w:rPr>
        <w:t>2.学年论文（设计）应遵循理论结合实际的原则，反映运用所学的学科基础理论与知识解决实际问题和分析问题的能力。</w:t>
      </w:r>
    </w:p>
    <w:p w14:paraId="3F82BEAE">
      <w:pPr>
        <w:pStyle w:val="27"/>
        <w:ind w:firstLine="560"/>
      </w:pPr>
      <w:r>
        <w:rPr>
          <w:rFonts w:hint="eastAsia"/>
        </w:rPr>
        <w:t>3.学年论文（设计）主题明确、结构严谨、观点正确、材料翔实、论证有力、层次清楚、文字通顺。每篇学年论文（设计）字数一般不少于6000字。</w:t>
      </w:r>
    </w:p>
    <w:p w14:paraId="15D9E1D2">
      <w:pPr>
        <w:pStyle w:val="27"/>
        <w:ind w:firstLine="560"/>
      </w:pPr>
      <w:r>
        <w:rPr>
          <w:rFonts w:hint="eastAsia"/>
        </w:rPr>
        <w:t>4.学年论文（设计）写作格式的规范参照《南京审计大学金审学院学年论文（设计）格式范本》。</w:t>
      </w:r>
    </w:p>
    <w:p w14:paraId="62B8E923">
      <w:pPr>
        <w:pStyle w:val="27"/>
        <w:ind w:firstLine="560"/>
      </w:pPr>
      <w:r>
        <w:t>5.原则上</w:t>
      </w:r>
      <w:r>
        <w:rPr>
          <w:rFonts w:hint="eastAsia"/>
        </w:rPr>
        <w:t>学年</w:t>
      </w:r>
      <w:r>
        <w:t>论文重合度不超过</w:t>
      </w:r>
      <w:r>
        <w:rPr>
          <w:rFonts w:hint="eastAsia"/>
        </w:rPr>
        <w:t>3</w:t>
      </w:r>
      <w:r>
        <w:t>0%。</w:t>
      </w:r>
    </w:p>
    <w:p w14:paraId="6AD4D83A">
      <w:pPr>
        <w:pStyle w:val="24"/>
        <w:spacing w:before="120" w:after="120"/>
        <w:ind w:firstLine="560"/>
        <w:rPr>
          <w:rStyle w:val="16"/>
          <w:b/>
          <w:bCs w:val="0"/>
        </w:rPr>
      </w:pPr>
      <w:r>
        <w:rPr>
          <w:rStyle w:val="16"/>
          <w:rFonts w:hint="eastAsia"/>
          <w:b w:val="0"/>
        </w:rPr>
        <w:t>四、学年论文（设计）工作安排</w:t>
      </w:r>
    </w:p>
    <w:p w14:paraId="02781439">
      <w:pPr>
        <w:pStyle w:val="27"/>
        <w:ind w:firstLine="560"/>
      </w:pPr>
      <w:r>
        <w:rPr>
          <w:rFonts w:hint="eastAsia"/>
        </w:rPr>
        <w:t>（一）学年论文（设计）写作时间一般安排在第三学年，原则上从第六学期开始布置实施。</w:t>
      </w:r>
    </w:p>
    <w:p w14:paraId="53AC7897">
      <w:pPr>
        <w:pStyle w:val="27"/>
        <w:ind w:firstLine="560"/>
      </w:pPr>
      <w:r>
        <w:rPr>
          <w:rFonts w:hint="eastAsia"/>
        </w:rPr>
        <w:t>（二）学年论文（设计）工作必须循序渐进，符合基本的程序要求。主要程序包括：</w:t>
      </w:r>
    </w:p>
    <w:p w14:paraId="1A9B274E">
      <w:pPr>
        <w:pStyle w:val="27"/>
        <w:ind w:firstLine="560"/>
      </w:pPr>
      <w:r>
        <w:rPr>
          <w:rFonts w:hint="eastAsia"/>
        </w:rPr>
        <w:t>1.论文（设计）选题；</w:t>
      </w:r>
    </w:p>
    <w:p w14:paraId="4D3F9BC6">
      <w:pPr>
        <w:pStyle w:val="27"/>
        <w:ind w:firstLine="560"/>
      </w:pPr>
      <w:r>
        <w:rPr>
          <w:rFonts w:hint="eastAsia"/>
        </w:rPr>
        <w:t>2.论文（设计）开题；</w:t>
      </w:r>
    </w:p>
    <w:p w14:paraId="1C47DCDD">
      <w:pPr>
        <w:pStyle w:val="27"/>
        <w:ind w:firstLine="560"/>
      </w:pPr>
      <w:r>
        <w:rPr>
          <w:rFonts w:hint="eastAsia"/>
        </w:rPr>
        <w:t>3.论文（设计）撰写；</w:t>
      </w:r>
    </w:p>
    <w:p w14:paraId="0BF0CD46">
      <w:pPr>
        <w:pStyle w:val="27"/>
        <w:ind w:firstLine="560"/>
      </w:pPr>
      <w:r>
        <w:rPr>
          <w:rFonts w:hint="eastAsia"/>
        </w:rPr>
        <w:t>4.论文（设计）成绩评定；</w:t>
      </w:r>
    </w:p>
    <w:p w14:paraId="2FFFB8BE">
      <w:pPr>
        <w:pStyle w:val="27"/>
        <w:ind w:firstLine="560"/>
      </w:pPr>
      <w:r>
        <w:rPr>
          <w:rFonts w:hint="eastAsia"/>
        </w:rPr>
        <w:t>5.后续文档资料管理等。</w:t>
      </w:r>
    </w:p>
    <w:p w14:paraId="005F215A">
      <w:pPr>
        <w:pStyle w:val="24"/>
        <w:spacing w:before="120" w:after="120"/>
        <w:ind w:firstLine="560"/>
        <w:rPr>
          <w:rStyle w:val="16"/>
          <w:b/>
          <w:bCs w:val="0"/>
        </w:rPr>
      </w:pPr>
      <w:r>
        <w:rPr>
          <w:rStyle w:val="16"/>
          <w:rFonts w:hint="eastAsia"/>
          <w:b w:val="0"/>
        </w:rPr>
        <w:t>五、学年论文（设计）的指导</w:t>
      </w:r>
    </w:p>
    <w:p w14:paraId="5C8F2261">
      <w:pPr>
        <w:pStyle w:val="27"/>
        <w:ind w:firstLine="560"/>
      </w:pPr>
      <w:r>
        <w:rPr>
          <w:rFonts w:hint="eastAsia"/>
        </w:rPr>
        <w:t xml:space="preserve">（一）指导教师的确定 </w:t>
      </w:r>
    </w:p>
    <w:p w14:paraId="7A26D547">
      <w:pPr>
        <w:pStyle w:val="27"/>
        <w:ind w:firstLine="560"/>
      </w:pPr>
      <w:r>
        <w:rPr>
          <w:rFonts w:hint="eastAsia"/>
        </w:rPr>
        <w:t>学年论文（设计）一般应选派具有讲师及以上职称、有一定业务水平和科研工作经验、工作责任心强的教师担任，每位教师指导论文的数量原则上不得超过15篇。学年论文（设计）的指导教师原则上就是该生毕业论文（设计）的指导教师。</w:t>
      </w:r>
    </w:p>
    <w:p w14:paraId="3ED0FE8D">
      <w:pPr>
        <w:pStyle w:val="27"/>
        <w:ind w:firstLine="560"/>
      </w:pPr>
      <w:r>
        <w:rPr>
          <w:rFonts w:hint="eastAsia"/>
        </w:rPr>
        <w:t xml:space="preserve">（二）指导教师的主要职责 </w:t>
      </w:r>
    </w:p>
    <w:p w14:paraId="72C24781">
      <w:pPr>
        <w:pStyle w:val="27"/>
        <w:ind w:firstLine="560"/>
      </w:pPr>
      <w:r>
        <w:rPr>
          <w:rFonts w:hint="eastAsia"/>
        </w:rPr>
        <w:t xml:space="preserve">1.根据专业教学要求指导学生选题； </w:t>
      </w:r>
    </w:p>
    <w:p w14:paraId="223E095D">
      <w:pPr>
        <w:pStyle w:val="27"/>
        <w:ind w:firstLine="560"/>
      </w:pPr>
      <w:r>
        <w:rPr>
          <w:rFonts w:hint="eastAsia"/>
        </w:rPr>
        <w:t xml:space="preserve">2.向学生讲清课题意义、任务，明确写作目的和要求，介绍主要参考文献、资料； </w:t>
      </w:r>
    </w:p>
    <w:p w14:paraId="40FA0509">
      <w:pPr>
        <w:pStyle w:val="27"/>
        <w:ind w:firstLine="560"/>
      </w:pPr>
      <w:r>
        <w:rPr>
          <w:rFonts w:hint="eastAsia"/>
        </w:rPr>
        <w:t xml:space="preserve">3.指导学生拟订学年论文（设计）提纲； </w:t>
      </w:r>
    </w:p>
    <w:p w14:paraId="529FF25A">
      <w:pPr>
        <w:pStyle w:val="27"/>
        <w:ind w:firstLine="560"/>
      </w:pPr>
      <w:r>
        <w:rPr>
          <w:rFonts w:hint="eastAsia"/>
        </w:rPr>
        <w:t>4.对所指导论文（设计）提出具体指导意见，写出评语，评定成绩。</w:t>
      </w:r>
    </w:p>
    <w:p w14:paraId="5D21367E">
      <w:pPr>
        <w:pStyle w:val="24"/>
        <w:spacing w:before="120" w:after="120"/>
        <w:ind w:firstLine="560"/>
        <w:rPr>
          <w:rStyle w:val="16"/>
          <w:b/>
          <w:bCs w:val="0"/>
        </w:rPr>
      </w:pPr>
      <w:r>
        <w:rPr>
          <w:rStyle w:val="16"/>
          <w:rFonts w:hint="eastAsia"/>
          <w:b w:val="0"/>
        </w:rPr>
        <w:t>六、学年论文（设计）成绩评定</w:t>
      </w:r>
    </w:p>
    <w:p w14:paraId="5E346AC5">
      <w:pPr>
        <w:pStyle w:val="27"/>
        <w:ind w:firstLine="560"/>
      </w:pPr>
      <w:r>
        <w:rPr>
          <w:rFonts w:hint="eastAsia"/>
        </w:rPr>
        <w:t>（一）学年论文（设计）的成绩实行优、良、中、及格和不及格五级评分制。</w:t>
      </w:r>
    </w:p>
    <w:p w14:paraId="1BF0F018">
      <w:pPr>
        <w:pStyle w:val="27"/>
        <w:ind w:firstLine="560"/>
      </w:pPr>
      <w:r>
        <w:rPr>
          <w:rFonts w:hint="eastAsia"/>
        </w:rPr>
        <w:t>（二）论文成绩评定先由指导教师打分并写出评语，学院汇总后进行综合评定。</w:t>
      </w:r>
    </w:p>
    <w:p w14:paraId="05378B1C">
      <w:pPr>
        <w:pStyle w:val="27"/>
        <w:ind w:firstLine="560"/>
      </w:pPr>
      <w:r>
        <w:rPr>
          <w:rFonts w:hint="eastAsia"/>
        </w:rPr>
        <w:t>（三）成绩评定应对学生学科基本理论的掌握程度、文献的收集和阅读能力、在整个学年论文（设计）环节中工作态度、学年论文（设计）的论点、论据、内容、条理、表达能力及论文写作的格式规范等方面进行综合评定。教师可通过中期检查对学生进行阶段考核，并将阶段考核表现作为成绩评定内容之一记入总成绩。</w:t>
      </w:r>
    </w:p>
    <w:p w14:paraId="3EE0621A">
      <w:pPr>
        <w:pStyle w:val="27"/>
        <w:ind w:firstLine="560"/>
      </w:pPr>
      <w:r>
        <w:rPr>
          <w:rFonts w:hint="eastAsia"/>
        </w:rPr>
        <w:t>（四）有下列情形之一者，学年论文（设计）成绩应评定为不及格：</w:t>
      </w:r>
    </w:p>
    <w:p w14:paraId="41204A60">
      <w:pPr>
        <w:pStyle w:val="27"/>
        <w:ind w:firstLine="560"/>
      </w:pPr>
      <w:r>
        <w:rPr>
          <w:rFonts w:hint="eastAsia"/>
        </w:rPr>
        <w:t>1.未按规定时间完成学年论文（设计）；</w:t>
      </w:r>
    </w:p>
    <w:p w14:paraId="0ED210EE">
      <w:pPr>
        <w:pStyle w:val="27"/>
        <w:ind w:firstLine="560"/>
      </w:pPr>
      <w:r>
        <w:rPr>
          <w:rFonts w:hint="eastAsia"/>
        </w:rPr>
        <w:t>2.论题不明确，论证逻辑性差，文句不通顺；</w:t>
      </w:r>
    </w:p>
    <w:p w14:paraId="2BE03BF3">
      <w:pPr>
        <w:pStyle w:val="27"/>
        <w:ind w:firstLine="560"/>
      </w:pPr>
      <w:r>
        <w:rPr>
          <w:rFonts w:hint="eastAsia"/>
        </w:rPr>
        <w:t>3.没有按照《南京审计大学金审学院学年论文（设计）格式范本》规范撰写。</w:t>
      </w:r>
    </w:p>
    <w:p w14:paraId="5468A9AD">
      <w:pPr>
        <w:pStyle w:val="24"/>
        <w:spacing w:before="120" w:after="120"/>
        <w:ind w:firstLine="560"/>
        <w:rPr>
          <w:rStyle w:val="16"/>
          <w:b/>
          <w:bCs w:val="0"/>
        </w:rPr>
      </w:pPr>
      <w:r>
        <w:rPr>
          <w:rStyle w:val="16"/>
          <w:rFonts w:hint="eastAsia"/>
          <w:b w:val="0"/>
        </w:rPr>
        <w:t>七、学年论文（设计）资料归档</w:t>
      </w:r>
      <w:r>
        <w:t xml:space="preserve"> </w:t>
      </w:r>
    </w:p>
    <w:p w14:paraId="4E4227DD">
      <w:pPr>
        <w:pStyle w:val="27"/>
        <w:ind w:firstLine="560"/>
      </w:pPr>
      <w:r>
        <w:rPr>
          <w:rFonts w:hint="eastAsia"/>
        </w:rPr>
        <w:t>（一）在每届学年论文（设计）完成后，各学院应将本届学年论文（设计）的工作规范、工作计划、论文成绩和工作总结存档。</w:t>
      </w:r>
    </w:p>
    <w:p w14:paraId="5B003734">
      <w:pPr>
        <w:pStyle w:val="27"/>
        <w:ind w:firstLine="560"/>
      </w:pPr>
      <w:r>
        <w:rPr>
          <w:rFonts w:hint="eastAsia"/>
        </w:rPr>
        <w:t>（二）每位学生的论文归档材料应包括：</w:t>
      </w:r>
    </w:p>
    <w:p w14:paraId="3252B1A3">
      <w:pPr>
        <w:pStyle w:val="27"/>
        <w:ind w:firstLine="560"/>
      </w:pPr>
      <w:r>
        <w:rPr>
          <w:rFonts w:hint="eastAsia"/>
        </w:rPr>
        <w:t>1.学年论文原文；</w:t>
      </w:r>
    </w:p>
    <w:p w14:paraId="29759BB3">
      <w:pPr>
        <w:pStyle w:val="27"/>
        <w:ind w:firstLine="560"/>
      </w:pPr>
      <w:r>
        <w:rPr>
          <w:rFonts w:hint="eastAsia"/>
        </w:rPr>
        <w:t>2.论文查重报告；</w:t>
      </w:r>
    </w:p>
    <w:p w14:paraId="1FE2E192">
      <w:pPr>
        <w:pStyle w:val="27"/>
        <w:ind w:firstLine="560"/>
      </w:pPr>
      <w:r>
        <w:rPr>
          <w:rFonts w:hint="eastAsia"/>
        </w:rPr>
        <w:t>3.南京审计大学金审学院学年论文（设计）成绩评定表。</w:t>
      </w:r>
    </w:p>
    <w:p w14:paraId="5DF452B6">
      <w:pPr>
        <w:pStyle w:val="24"/>
        <w:spacing w:before="120" w:after="120"/>
        <w:ind w:firstLine="560"/>
        <w:rPr>
          <w:rStyle w:val="16"/>
          <w:b/>
          <w:bCs w:val="0"/>
        </w:rPr>
      </w:pPr>
      <w:r>
        <w:rPr>
          <w:rStyle w:val="16"/>
          <w:rFonts w:hint="eastAsia"/>
          <w:b w:val="0"/>
        </w:rPr>
        <w:t>八、其他</w:t>
      </w:r>
    </w:p>
    <w:p w14:paraId="0116048F">
      <w:pPr>
        <w:pStyle w:val="27"/>
        <w:ind w:firstLine="560"/>
      </w:pPr>
      <w:r>
        <w:rPr>
          <w:rFonts w:hint="eastAsia"/>
        </w:rPr>
        <w:t>本细则自发布之日起实施，由教务处负责解释。</w:t>
      </w:r>
    </w:p>
    <w:p w14:paraId="44B99FC4">
      <w:pPr>
        <w:pStyle w:val="27"/>
        <w:ind w:firstLine="560"/>
      </w:pPr>
    </w:p>
    <w:p w14:paraId="2032F66D">
      <w:pPr>
        <w:pStyle w:val="27"/>
        <w:ind w:firstLine="560"/>
      </w:pPr>
      <w:r>
        <w:rPr>
          <w:rFonts w:hint="eastAsia"/>
        </w:rPr>
        <w:t>附件：1.南京审计大学金审学院学年论文（设计）格式范本</w:t>
      </w:r>
    </w:p>
    <w:p w14:paraId="22DB62EB">
      <w:pPr>
        <w:pStyle w:val="27"/>
        <w:ind w:left="850" w:leftChars="405" w:firstLine="560"/>
      </w:pPr>
      <w:r>
        <w:rPr>
          <w:rFonts w:hint="eastAsia"/>
        </w:rPr>
        <w:t>2.南京审计大学金审学院学年论文（设计）成绩评定表</w:t>
      </w:r>
    </w:p>
    <w:p w14:paraId="556EA8A9">
      <w:pPr>
        <w:adjustRightInd w:val="0"/>
        <w:spacing w:line="480" w:lineRule="auto"/>
        <w:rPr>
          <w:rFonts w:ascii="黑体" w:hAnsi="黑体" w:eastAsia="黑体"/>
          <w:b/>
          <w:sz w:val="44"/>
          <w:szCs w:val="44"/>
        </w:rPr>
      </w:pPr>
    </w:p>
    <w:p w14:paraId="11494CB0">
      <w:pPr>
        <w:pStyle w:val="25"/>
        <w:ind w:firstLine="0" w:firstLineChars="0"/>
        <w:jc w:val="right"/>
      </w:pPr>
      <w:r>
        <w:t>南京审计大学金审学院</w:t>
      </w:r>
      <w:r>
        <w:rPr>
          <w:rFonts w:hint="eastAsia"/>
        </w:rPr>
        <w:t>教务处</w:t>
      </w:r>
    </w:p>
    <w:p w14:paraId="7383D7DD">
      <w:pPr>
        <w:pStyle w:val="25"/>
        <w:ind w:right="560" w:firstLine="0" w:firstLineChars="0"/>
        <w:jc w:val="right"/>
      </w:pPr>
      <w:r>
        <w:rPr>
          <w:rFonts w:hint="eastAsia"/>
        </w:rPr>
        <w:t>2024年8月14日</w:t>
      </w:r>
    </w:p>
    <w:p w14:paraId="6DD9C4AE">
      <w:pPr>
        <w:pStyle w:val="29"/>
        <w:rPr>
          <w:color w:val="auto"/>
        </w:rPr>
      </w:pPr>
      <w:r>
        <w:br w:type="page"/>
      </w:r>
      <w:r>
        <w:rPr>
          <w:rFonts w:hint="eastAsia"/>
          <w:color w:val="auto"/>
        </w:rPr>
        <w:t>附件2</w:t>
      </w:r>
    </w:p>
    <w:p w14:paraId="565B32BB">
      <w:pPr>
        <w:jc w:val="center"/>
        <w:rPr>
          <w:b/>
          <w:sz w:val="32"/>
          <w:szCs w:val="32"/>
        </w:rPr>
      </w:pPr>
      <w:r>
        <w:rPr>
          <w:rFonts w:hint="eastAsia"/>
          <w:b/>
          <w:sz w:val="32"/>
          <w:szCs w:val="32"/>
        </w:rPr>
        <w:t>南京审计大学金审学院学年论文（设计）成绩评定表</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2"/>
        <w:gridCol w:w="2480"/>
        <w:gridCol w:w="3622"/>
      </w:tblGrid>
      <w:tr w14:paraId="53AB0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000" w:type="pct"/>
            <w:gridSpan w:val="3"/>
            <w:vAlign w:val="center"/>
          </w:tcPr>
          <w:p w14:paraId="03B622F4">
            <w:pPr>
              <w:rPr>
                <w:rFonts w:ascii="宋体" w:hAnsi="宋体"/>
                <w:b/>
                <w:sz w:val="24"/>
              </w:rPr>
            </w:pPr>
            <w:r>
              <w:rPr>
                <w:rFonts w:hint="eastAsia" w:ascii="宋体" w:hAnsi="宋体"/>
                <w:b/>
                <w:sz w:val="24"/>
              </w:rPr>
              <w:t>指导教师评语：</w:t>
            </w:r>
          </w:p>
          <w:p w14:paraId="7D679725">
            <w:pPr>
              <w:jc w:val="center"/>
              <w:rPr>
                <w:rFonts w:ascii="宋体" w:hAnsi="宋体"/>
                <w:sz w:val="24"/>
              </w:rPr>
            </w:pPr>
          </w:p>
          <w:p w14:paraId="0A1E629A">
            <w:pPr>
              <w:jc w:val="center"/>
              <w:rPr>
                <w:rFonts w:ascii="宋体" w:hAnsi="宋体"/>
                <w:sz w:val="24"/>
              </w:rPr>
            </w:pPr>
          </w:p>
          <w:p w14:paraId="4AB960AC">
            <w:pPr>
              <w:jc w:val="center"/>
              <w:rPr>
                <w:rFonts w:ascii="宋体" w:hAnsi="宋体"/>
                <w:sz w:val="24"/>
              </w:rPr>
            </w:pPr>
          </w:p>
          <w:p w14:paraId="44BE7F33">
            <w:pPr>
              <w:jc w:val="center"/>
              <w:rPr>
                <w:rFonts w:ascii="宋体" w:hAnsi="宋体"/>
                <w:sz w:val="24"/>
              </w:rPr>
            </w:pPr>
          </w:p>
          <w:p w14:paraId="5B22A3C3">
            <w:pPr>
              <w:jc w:val="center"/>
              <w:rPr>
                <w:rFonts w:ascii="宋体" w:hAnsi="宋体"/>
                <w:sz w:val="24"/>
              </w:rPr>
            </w:pPr>
          </w:p>
          <w:p w14:paraId="5AF160AE">
            <w:pPr>
              <w:jc w:val="center"/>
              <w:rPr>
                <w:rFonts w:ascii="宋体" w:hAnsi="宋体"/>
                <w:sz w:val="24"/>
              </w:rPr>
            </w:pPr>
          </w:p>
          <w:p w14:paraId="7916E22D">
            <w:pPr>
              <w:jc w:val="center"/>
              <w:rPr>
                <w:rFonts w:ascii="宋体" w:hAnsi="宋体"/>
                <w:sz w:val="24"/>
              </w:rPr>
            </w:pPr>
          </w:p>
          <w:p w14:paraId="7561CA3F">
            <w:pPr>
              <w:jc w:val="center"/>
              <w:rPr>
                <w:rFonts w:ascii="宋体" w:hAnsi="宋体"/>
                <w:sz w:val="24"/>
              </w:rPr>
            </w:pPr>
          </w:p>
          <w:p w14:paraId="4398BE1C">
            <w:pPr>
              <w:jc w:val="center"/>
              <w:rPr>
                <w:rFonts w:ascii="宋体" w:hAnsi="宋体"/>
                <w:sz w:val="24"/>
              </w:rPr>
            </w:pPr>
          </w:p>
          <w:p w14:paraId="55C20F50">
            <w:pPr>
              <w:jc w:val="center"/>
              <w:rPr>
                <w:rFonts w:ascii="宋体" w:hAnsi="宋体"/>
                <w:sz w:val="24"/>
              </w:rPr>
            </w:pPr>
          </w:p>
          <w:p w14:paraId="10D2536C">
            <w:pPr>
              <w:jc w:val="center"/>
              <w:rPr>
                <w:rFonts w:ascii="宋体" w:hAnsi="宋体"/>
                <w:sz w:val="24"/>
              </w:rPr>
            </w:pPr>
          </w:p>
          <w:p w14:paraId="6FD7042A">
            <w:pPr>
              <w:jc w:val="center"/>
              <w:rPr>
                <w:rFonts w:ascii="宋体" w:hAnsi="宋体"/>
                <w:sz w:val="24"/>
              </w:rPr>
            </w:pPr>
          </w:p>
          <w:p w14:paraId="26C7A65C">
            <w:pPr>
              <w:jc w:val="center"/>
              <w:rPr>
                <w:rFonts w:ascii="宋体" w:hAnsi="宋体"/>
                <w:sz w:val="24"/>
              </w:rPr>
            </w:pPr>
          </w:p>
          <w:p w14:paraId="5445EEDD">
            <w:pPr>
              <w:jc w:val="center"/>
              <w:rPr>
                <w:rFonts w:ascii="宋体" w:hAnsi="宋体"/>
                <w:sz w:val="24"/>
              </w:rPr>
            </w:pPr>
          </w:p>
          <w:p w14:paraId="19E96D27">
            <w:pPr>
              <w:jc w:val="center"/>
              <w:rPr>
                <w:rFonts w:ascii="宋体" w:hAnsi="宋体"/>
                <w:sz w:val="24"/>
              </w:rPr>
            </w:pPr>
          </w:p>
          <w:p w14:paraId="2B0D34FB">
            <w:pPr>
              <w:jc w:val="center"/>
              <w:rPr>
                <w:rFonts w:ascii="宋体" w:hAnsi="宋体"/>
                <w:sz w:val="24"/>
              </w:rPr>
            </w:pPr>
          </w:p>
          <w:p w14:paraId="34B6436C">
            <w:pPr>
              <w:jc w:val="center"/>
              <w:rPr>
                <w:rFonts w:ascii="宋体" w:hAnsi="宋体"/>
                <w:sz w:val="24"/>
              </w:rPr>
            </w:pPr>
          </w:p>
          <w:p w14:paraId="4F454F97">
            <w:pPr>
              <w:jc w:val="center"/>
              <w:rPr>
                <w:rFonts w:ascii="宋体" w:hAnsi="宋体"/>
                <w:sz w:val="24"/>
              </w:rPr>
            </w:pPr>
          </w:p>
          <w:p w14:paraId="310B2707">
            <w:pPr>
              <w:rPr>
                <w:rFonts w:ascii="宋体" w:hAnsi="宋体"/>
                <w:sz w:val="24"/>
              </w:rPr>
            </w:pPr>
          </w:p>
          <w:p w14:paraId="13E502D9">
            <w:pPr>
              <w:jc w:val="center"/>
              <w:rPr>
                <w:rFonts w:ascii="宋体" w:hAnsi="宋体"/>
                <w:sz w:val="24"/>
              </w:rPr>
            </w:pPr>
          </w:p>
        </w:tc>
      </w:tr>
      <w:tr w14:paraId="1B2C5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gridSpan w:val="3"/>
            <w:vAlign w:val="center"/>
          </w:tcPr>
          <w:p w14:paraId="63464E07">
            <w:pPr>
              <w:jc w:val="center"/>
              <w:rPr>
                <w:rFonts w:ascii="宋体" w:hAnsi="宋体"/>
                <w:b/>
                <w:sz w:val="24"/>
              </w:rPr>
            </w:pPr>
            <w:r>
              <w:rPr>
                <w:rFonts w:hint="eastAsia" w:ascii="宋体" w:hAnsi="宋体"/>
                <w:b/>
                <w:sz w:val="24"/>
              </w:rPr>
              <w:t>成   绩   评   定</w:t>
            </w:r>
          </w:p>
        </w:tc>
      </w:tr>
      <w:tr w14:paraId="1581B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3061" w:type="pct"/>
            <w:gridSpan w:val="2"/>
            <w:tcBorders>
              <w:bottom w:val="single" w:color="auto" w:sz="4" w:space="0"/>
            </w:tcBorders>
            <w:vAlign w:val="center"/>
          </w:tcPr>
          <w:p w14:paraId="0FB2B820">
            <w:pPr>
              <w:jc w:val="center"/>
              <w:rPr>
                <w:rFonts w:ascii="宋体" w:hAnsi="宋体"/>
                <w:b/>
              </w:rPr>
            </w:pPr>
            <w:r>
              <w:rPr>
                <w:rFonts w:hint="eastAsia" w:ascii="宋体" w:hAnsi="宋体"/>
                <w:b/>
              </w:rPr>
              <w:t>评分项目</w:t>
            </w:r>
          </w:p>
        </w:tc>
        <w:tc>
          <w:tcPr>
            <w:tcW w:w="1939" w:type="pct"/>
            <w:vAlign w:val="center"/>
          </w:tcPr>
          <w:p w14:paraId="564E50E1">
            <w:pPr>
              <w:jc w:val="center"/>
              <w:rPr>
                <w:rFonts w:ascii="宋体" w:hAnsi="宋体"/>
                <w:b/>
              </w:rPr>
            </w:pPr>
            <w:r>
              <w:rPr>
                <w:rFonts w:hint="eastAsia" w:ascii="宋体" w:hAnsi="宋体"/>
                <w:b/>
              </w:rPr>
              <w:t>得分</w:t>
            </w:r>
          </w:p>
        </w:tc>
      </w:tr>
      <w:tr w14:paraId="205DF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735" w:type="pct"/>
            <w:tcBorders>
              <w:right w:val="single" w:color="auto" w:sz="4" w:space="0"/>
            </w:tcBorders>
            <w:vAlign w:val="center"/>
          </w:tcPr>
          <w:p w14:paraId="2D36CD5D">
            <w:pPr>
              <w:jc w:val="center"/>
              <w:rPr>
                <w:rFonts w:ascii="宋体" w:hAnsi="宋体"/>
                <w:b/>
              </w:rPr>
            </w:pPr>
            <w:r>
              <w:rPr>
                <w:rFonts w:hint="eastAsia" w:ascii="宋体" w:hAnsi="宋体"/>
                <w:b/>
              </w:rPr>
              <w:t>理论与实用价值</w:t>
            </w:r>
          </w:p>
        </w:tc>
        <w:tc>
          <w:tcPr>
            <w:tcW w:w="1327" w:type="pct"/>
            <w:tcBorders>
              <w:left w:val="single" w:color="auto" w:sz="4" w:space="0"/>
            </w:tcBorders>
            <w:vAlign w:val="center"/>
          </w:tcPr>
          <w:p w14:paraId="2A713E48">
            <w:pPr>
              <w:jc w:val="center"/>
              <w:rPr>
                <w:rFonts w:ascii="宋体" w:hAnsi="宋体"/>
                <w:b/>
              </w:rPr>
            </w:pPr>
            <w:r>
              <w:rPr>
                <w:rFonts w:hint="eastAsia" w:ascii="宋体" w:hAnsi="宋体"/>
                <w:b/>
              </w:rPr>
              <w:t>（25%）</w:t>
            </w:r>
          </w:p>
        </w:tc>
        <w:tc>
          <w:tcPr>
            <w:tcW w:w="1939" w:type="pct"/>
            <w:vAlign w:val="center"/>
          </w:tcPr>
          <w:p w14:paraId="556F0D4C">
            <w:pPr>
              <w:jc w:val="center"/>
              <w:rPr>
                <w:rFonts w:ascii="宋体" w:hAnsi="宋体"/>
              </w:rPr>
            </w:pPr>
          </w:p>
        </w:tc>
      </w:tr>
      <w:tr w14:paraId="11710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735" w:type="pct"/>
            <w:tcBorders>
              <w:right w:val="single" w:color="auto" w:sz="4" w:space="0"/>
            </w:tcBorders>
            <w:vAlign w:val="center"/>
          </w:tcPr>
          <w:p w14:paraId="51065CF7">
            <w:pPr>
              <w:jc w:val="center"/>
              <w:rPr>
                <w:rFonts w:ascii="宋体" w:hAnsi="宋体"/>
                <w:b/>
              </w:rPr>
            </w:pPr>
            <w:r>
              <w:rPr>
                <w:rFonts w:hint="eastAsia" w:ascii="宋体" w:hAnsi="宋体"/>
                <w:b/>
              </w:rPr>
              <w:t>分析论证</w:t>
            </w:r>
          </w:p>
        </w:tc>
        <w:tc>
          <w:tcPr>
            <w:tcW w:w="1327" w:type="pct"/>
            <w:tcBorders>
              <w:left w:val="single" w:color="auto" w:sz="4" w:space="0"/>
              <w:right w:val="single" w:color="auto" w:sz="4" w:space="0"/>
            </w:tcBorders>
            <w:vAlign w:val="center"/>
          </w:tcPr>
          <w:p w14:paraId="7C2947EB">
            <w:pPr>
              <w:jc w:val="center"/>
              <w:rPr>
                <w:rFonts w:ascii="宋体" w:hAnsi="宋体"/>
                <w:b/>
              </w:rPr>
            </w:pPr>
            <w:r>
              <w:rPr>
                <w:rFonts w:hint="eastAsia" w:ascii="宋体" w:hAnsi="宋体"/>
                <w:b/>
              </w:rPr>
              <w:t>（40%）</w:t>
            </w:r>
          </w:p>
        </w:tc>
        <w:tc>
          <w:tcPr>
            <w:tcW w:w="1939" w:type="pct"/>
            <w:tcBorders>
              <w:left w:val="single" w:color="auto" w:sz="4" w:space="0"/>
            </w:tcBorders>
            <w:vAlign w:val="center"/>
          </w:tcPr>
          <w:p w14:paraId="56B8FA8E">
            <w:pPr>
              <w:jc w:val="center"/>
              <w:rPr>
                <w:rFonts w:ascii="宋体" w:hAnsi="宋体"/>
              </w:rPr>
            </w:pPr>
          </w:p>
        </w:tc>
      </w:tr>
      <w:tr w14:paraId="54B35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735" w:type="pct"/>
            <w:tcBorders>
              <w:right w:val="single" w:color="auto" w:sz="4" w:space="0"/>
            </w:tcBorders>
            <w:vAlign w:val="center"/>
          </w:tcPr>
          <w:p w14:paraId="373CD6FE">
            <w:pPr>
              <w:jc w:val="center"/>
              <w:rPr>
                <w:rFonts w:ascii="宋体" w:hAnsi="宋体"/>
                <w:b/>
              </w:rPr>
            </w:pPr>
            <w:r>
              <w:rPr>
                <w:rFonts w:hint="eastAsia" w:ascii="宋体" w:hAnsi="宋体"/>
                <w:b/>
              </w:rPr>
              <w:t>写作</w:t>
            </w:r>
            <w:r>
              <w:rPr>
                <w:rFonts w:ascii="宋体" w:hAnsi="宋体"/>
                <w:b/>
              </w:rPr>
              <w:t>水平</w:t>
            </w:r>
          </w:p>
        </w:tc>
        <w:tc>
          <w:tcPr>
            <w:tcW w:w="1327" w:type="pct"/>
            <w:tcBorders>
              <w:left w:val="single" w:color="auto" w:sz="4" w:space="0"/>
              <w:right w:val="single" w:color="auto" w:sz="4" w:space="0"/>
            </w:tcBorders>
            <w:vAlign w:val="center"/>
          </w:tcPr>
          <w:p w14:paraId="34109AC7">
            <w:pPr>
              <w:jc w:val="center"/>
              <w:rPr>
                <w:rFonts w:ascii="宋体" w:hAnsi="宋体"/>
                <w:b/>
              </w:rPr>
            </w:pPr>
            <w:r>
              <w:rPr>
                <w:rFonts w:hint="eastAsia" w:ascii="宋体" w:hAnsi="宋体"/>
                <w:b/>
              </w:rPr>
              <w:t>（20%）</w:t>
            </w:r>
          </w:p>
        </w:tc>
        <w:tc>
          <w:tcPr>
            <w:tcW w:w="1939" w:type="pct"/>
            <w:tcBorders>
              <w:left w:val="single" w:color="auto" w:sz="4" w:space="0"/>
            </w:tcBorders>
            <w:vAlign w:val="center"/>
          </w:tcPr>
          <w:p w14:paraId="7C0E8939">
            <w:pPr>
              <w:jc w:val="center"/>
              <w:rPr>
                <w:rFonts w:ascii="宋体" w:hAnsi="宋体"/>
              </w:rPr>
            </w:pPr>
          </w:p>
        </w:tc>
      </w:tr>
      <w:tr w14:paraId="2C00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735" w:type="pct"/>
            <w:tcBorders>
              <w:right w:val="single" w:color="auto" w:sz="4" w:space="0"/>
            </w:tcBorders>
            <w:vAlign w:val="center"/>
          </w:tcPr>
          <w:p w14:paraId="7EAE6825">
            <w:pPr>
              <w:jc w:val="center"/>
              <w:rPr>
                <w:rFonts w:ascii="宋体" w:hAnsi="宋体"/>
                <w:b/>
              </w:rPr>
            </w:pPr>
            <w:r>
              <w:rPr>
                <w:rFonts w:ascii="宋体" w:hAnsi="宋体"/>
                <w:b/>
              </w:rPr>
              <w:t>态度与规范</w:t>
            </w:r>
          </w:p>
        </w:tc>
        <w:tc>
          <w:tcPr>
            <w:tcW w:w="1327" w:type="pct"/>
            <w:tcBorders>
              <w:left w:val="single" w:color="auto" w:sz="4" w:space="0"/>
            </w:tcBorders>
            <w:vAlign w:val="center"/>
          </w:tcPr>
          <w:p w14:paraId="03DE5991">
            <w:pPr>
              <w:jc w:val="center"/>
              <w:rPr>
                <w:rFonts w:ascii="宋体" w:hAnsi="宋体"/>
                <w:b/>
              </w:rPr>
            </w:pPr>
            <w:r>
              <w:rPr>
                <w:rFonts w:hint="eastAsia" w:ascii="宋体" w:hAnsi="宋体"/>
                <w:b/>
              </w:rPr>
              <w:t>（15%）</w:t>
            </w:r>
          </w:p>
        </w:tc>
        <w:tc>
          <w:tcPr>
            <w:tcW w:w="1939" w:type="pct"/>
            <w:vAlign w:val="center"/>
          </w:tcPr>
          <w:p w14:paraId="041EC88D">
            <w:pPr>
              <w:jc w:val="center"/>
              <w:rPr>
                <w:rFonts w:ascii="宋体" w:hAnsi="宋体"/>
              </w:rPr>
            </w:pPr>
          </w:p>
        </w:tc>
      </w:tr>
      <w:tr w14:paraId="07186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6" w:hRule="atLeast"/>
          <w:jc w:val="center"/>
        </w:trPr>
        <w:tc>
          <w:tcPr>
            <w:tcW w:w="5000" w:type="pct"/>
            <w:gridSpan w:val="3"/>
            <w:vAlign w:val="center"/>
          </w:tcPr>
          <w:p w14:paraId="28F659A0">
            <w:pPr>
              <w:ind w:firstLine="207" w:firstLineChars="98"/>
              <w:rPr>
                <w:rFonts w:ascii="宋体" w:hAnsi="宋体"/>
                <w:b/>
              </w:rPr>
            </w:pPr>
          </w:p>
          <w:p w14:paraId="0DD911F7">
            <w:pPr>
              <w:ind w:firstLine="472" w:firstLineChars="196"/>
              <w:rPr>
                <w:rFonts w:ascii="宋体" w:hAnsi="宋体"/>
                <w:b/>
                <w:sz w:val="24"/>
              </w:rPr>
            </w:pPr>
            <w:r>
              <w:rPr>
                <w:rFonts w:hint="eastAsia" w:ascii="宋体" w:hAnsi="宋体"/>
                <w:b/>
                <w:sz w:val="24"/>
              </w:rPr>
              <w:t>总    分:</w:t>
            </w:r>
          </w:p>
          <w:p w14:paraId="5B92E51B">
            <w:pPr>
              <w:ind w:firstLine="1176" w:firstLineChars="490"/>
              <w:rPr>
                <w:rFonts w:ascii="宋体" w:hAnsi="宋体"/>
                <w:sz w:val="24"/>
              </w:rPr>
            </w:pPr>
          </w:p>
          <w:p w14:paraId="2D6C1560">
            <w:pPr>
              <w:ind w:firstLine="4958" w:firstLineChars="2058"/>
              <w:rPr>
                <w:rFonts w:ascii="宋体" w:hAnsi="宋体"/>
                <w:b/>
                <w:sz w:val="24"/>
              </w:rPr>
            </w:pPr>
          </w:p>
          <w:p w14:paraId="006C56AA">
            <w:pPr>
              <w:ind w:firstLine="4958" w:firstLineChars="2058"/>
              <w:rPr>
                <w:rFonts w:hint="eastAsia" w:ascii="宋体" w:hAnsi="宋体"/>
                <w:b/>
                <w:sz w:val="24"/>
              </w:rPr>
            </w:pPr>
          </w:p>
          <w:p w14:paraId="267CD22D">
            <w:pPr>
              <w:ind w:firstLine="4958" w:firstLineChars="2058"/>
              <w:rPr>
                <w:rFonts w:ascii="宋体" w:hAnsi="宋体"/>
                <w:b/>
                <w:sz w:val="24"/>
              </w:rPr>
            </w:pPr>
            <w:r>
              <w:rPr>
                <w:rFonts w:hint="eastAsia" w:ascii="宋体" w:hAnsi="宋体"/>
                <w:b/>
                <w:sz w:val="24"/>
              </w:rPr>
              <w:t>指导教师签名：</w:t>
            </w:r>
          </w:p>
          <w:p w14:paraId="1D97DB12">
            <w:pPr>
              <w:rPr>
                <w:rFonts w:ascii="宋体" w:hAnsi="宋体"/>
                <w:b/>
                <w:sz w:val="24"/>
              </w:rPr>
            </w:pPr>
          </w:p>
          <w:p w14:paraId="65BC0965">
            <w:pPr>
              <w:ind w:firstLine="5431" w:firstLineChars="2254"/>
              <w:rPr>
                <w:rFonts w:ascii="宋体" w:hAnsi="宋体"/>
                <w:b/>
                <w:sz w:val="24"/>
              </w:rPr>
            </w:pPr>
            <w:r>
              <w:rPr>
                <w:rFonts w:hint="eastAsia" w:ascii="宋体" w:hAnsi="宋体"/>
                <w:b/>
                <w:sz w:val="24"/>
              </w:rPr>
              <w:t>年     月     日</w:t>
            </w:r>
          </w:p>
          <w:p w14:paraId="79C148F2">
            <w:pPr>
              <w:ind w:firstLine="5250" w:firstLineChars="2500"/>
              <w:rPr>
                <w:rFonts w:ascii="宋体" w:hAnsi="宋体"/>
              </w:rPr>
            </w:pPr>
          </w:p>
        </w:tc>
      </w:tr>
    </w:tbl>
    <w:p w14:paraId="440FC7FD">
      <w:pPr>
        <w:pStyle w:val="25"/>
        <w:ind w:firstLine="2200" w:firstLineChars="2200"/>
        <w:rPr>
          <w:sz w:val="10"/>
          <w:szCs w:val="10"/>
        </w:rPr>
      </w:pPr>
    </w:p>
    <w:sectPr>
      <w:headerReference r:id="rId3" w:type="default"/>
      <w:pgSz w:w="11906" w:h="16838"/>
      <w:pgMar w:top="1417" w:right="1247" w:bottom="1247"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0704F">
    <w:pPr>
      <w:pBdr>
        <w:bottom w:val="single" w:color="FFFFFF" w:sz="4" w:space="0"/>
      </w:pBdr>
      <w:jc w:val="center"/>
      <w:rPr>
        <w:rFonts w:ascii="宋体" w:hAnsi="宋体" w:cs="宋体"/>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gzZWNmZTQ5MmNiZjc4MjYxMTJkODJiZDlhMjVmMzgifQ=="/>
  </w:docVars>
  <w:rsids>
    <w:rsidRoot w:val="008F6312"/>
    <w:rsid w:val="0000177E"/>
    <w:rsid w:val="00100355"/>
    <w:rsid w:val="00191751"/>
    <w:rsid w:val="001955F8"/>
    <w:rsid w:val="001A1F92"/>
    <w:rsid w:val="001E53F4"/>
    <w:rsid w:val="00220DC7"/>
    <w:rsid w:val="002253A2"/>
    <w:rsid w:val="00242A8E"/>
    <w:rsid w:val="002A3FAA"/>
    <w:rsid w:val="00331ADB"/>
    <w:rsid w:val="00362A05"/>
    <w:rsid w:val="00372E7F"/>
    <w:rsid w:val="003941DF"/>
    <w:rsid w:val="00396CBD"/>
    <w:rsid w:val="003B0782"/>
    <w:rsid w:val="004038AD"/>
    <w:rsid w:val="00467683"/>
    <w:rsid w:val="004B0805"/>
    <w:rsid w:val="004F3AC9"/>
    <w:rsid w:val="005546E3"/>
    <w:rsid w:val="005955E1"/>
    <w:rsid w:val="005F32EC"/>
    <w:rsid w:val="00665A80"/>
    <w:rsid w:val="00726300"/>
    <w:rsid w:val="007971E8"/>
    <w:rsid w:val="00815D4F"/>
    <w:rsid w:val="0083017D"/>
    <w:rsid w:val="00853A2A"/>
    <w:rsid w:val="00863585"/>
    <w:rsid w:val="008C5F04"/>
    <w:rsid w:val="008F6312"/>
    <w:rsid w:val="00972253"/>
    <w:rsid w:val="009B7536"/>
    <w:rsid w:val="00A2443C"/>
    <w:rsid w:val="00A31736"/>
    <w:rsid w:val="00AB40FA"/>
    <w:rsid w:val="00AD1291"/>
    <w:rsid w:val="00AE3888"/>
    <w:rsid w:val="00B113A0"/>
    <w:rsid w:val="00B444F8"/>
    <w:rsid w:val="00B65ACB"/>
    <w:rsid w:val="00B84C42"/>
    <w:rsid w:val="00B96C53"/>
    <w:rsid w:val="00B9702C"/>
    <w:rsid w:val="00BA09F4"/>
    <w:rsid w:val="00BB7BFC"/>
    <w:rsid w:val="00C455FE"/>
    <w:rsid w:val="00C61A90"/>
    <w:rsid w:val="00CB2FFE"/>
    <w:rsid w:val="00D179E4"/>
    <w:rsid w:val="00D429CD"/>
    <w:rsid w:val="00D56552"/>
    <w:rsid w:val="00D7366E"/>
    <w:rsid w:val="00DF7916"/>
    <w:rsid w:val="00E41A4E"/>
    <w:rsid w:val="00E43BE9"/>
    <w:rsid w:val="00E70F8F"/>
    <w:rsid w:val="00ED1458"/>
    <w:rsid w:val="00EE40F6"/>
    <w:rsid w:val="00EF3B86"/>
    <w:rsid w:val="00EF6C89"/>
    <w:rsid w:val="00F044C5"/>
    <w:rsid w:val="00F14BF1"/>
    <w:rsid w:val="00F32E42"/>
    <w:rsid w:val="00FD1BD2"/>
    <w:rsid w:val="00FD5DFB"/>
    <w:rsid w:val="01EC3E90"/>
    <w:rsid w:val="02B40E52"/>
    <w:rsid w:val="031E276F"/>
    <w:rsid w:val="03F84D6E"/>
    <w:rsid w:val="07A174CB"/>
    <w:rsid w:val="08420CAE"/>
    <w:rsid w:val="08A54D99"/>
    <w:rsid w:val="08E753B1"/>
    <w:rsid w:val="0946032A"/>
    <w:rsid w:val="0B2E72C7"/>
    <w:rsid w:val="0B680A2B"/>
    <w:rsid w:val="0B93537C"/>
    <w:rsid w:val="0BAF665A"/>
    <w:rsid w:val="0BE856C8"/>
    <w:rsid w:val="0F8C6CB2"/>
    <w:rsid w:val="0FC71A98"/>
    <w:rsid w:val="0FD348E1"/>
    <w:rsid w:val="0FE10DAC"/>
    <w:rsid w:val="106612B1"/>
    <w:rsid w:val="12751C80"/>
    <w:rsid w:val="15BD7BC5"/>
    <w:rsid w:val="160B0931"/>
    <w:rsid w:val="161812A0"/>
    <w:rsid w:val="16B56068"/>
    <w:rsid w:val="16CB00C0"/>
    <w:rsid w:val="19404DB1"/>
    <w:rsid w:val="1A450189"/>
    <w:rsid w:val="1A5F749D"/>
    <w:rsid w:val="1AD02149"/>
    <w:rsid w:val="1C5F19D6"/>
    <w:rsid w:val="1E396257"/>
    <w:rsid w:val="1E480248"/>
    <w:rsid w:val="1EA77090"/>
    <w:rsid w:val="1EE77A61"/>
    <w:rsid w:val="1F185E6D"/>
    <w:rsid w:val="1F262338"/>
    <w:rsid w:val="20012DA5"/>
    <w:rsid w:val="20EE3329"/>
    <w:rsid w:val="20EE50D7"/>
    <w:rsid w:val="23BD5235"/>
    <w:rsid w:val="23FA0B3C"/>
    <w:rsid w:val="24125580"/>
    <w:rsid w:val="26121868"/>
    <w:rsid w:val="265754CC"/>
    <w:rsid w:val="2666570F"/>
    <w:rsid w:val="26F251F5"/>
    <w:rsid w:val="28904CC6"/>
    <w:rsid w:val="28B05368"/>
    <w:rsid w:val="2A111E36"/>
    <w:rsid w:val="2A612DBE"/>
    <w:rsid w:val="2B2838DB"/>
    <w:rsid w:val="2B34402E"/>
    <w:rsid w:val="2D940DB4"/>
    <w:rsid w:val="2DC07DFB"/>
    <w:rsid w:val="2DFA155F"/>
    <w:rsid w:val="2DFF7A2D"/>
    <w:rsid w:val="2EB060C2"/>
    <w:rsid w:val="301601A6"/>
    <w:rsid w:val="30647164"/>
    <w:rsid w:val="322C1F03"/>
    <w:rsid w:val="32D3237F"/>
    <w:rsid w:val="32DF0D23"/>
    <w:rsid w:val="33B95A18"/>
    <w:rsid w:val="34D523DE"/>
    <w:rsid w:val="36DD37CC"/>
    <w:rsid w:val="37677539"/>
    <w:rsid w:val="3795328A"/>
    <w:rsid w:val="37B24C58"/>
    <w:rsid w:val="38DD3F57"/>
    <w:rsid w:val="391A2AB5"/>
    <w:rsid w:val="3A296D28"/>
    <w:rsid w:val="3B9C1EA7"/>
    <w:rsid w:val="3C011D0B"/>
    <w:rsid w:val="3CC50F8A"/>
    <w:rsid w:val="3D22018A"/>
    <w:rsid w:val="3DE10046"/>
    <w:rsid w:val="3E5A7DF8"/>
    <w:rsid w:val="3E877D39"/>
    <w:rsid w:val="3F544847"/>
    <w:rsid w:val="3FAA6CF5"/>
    <w:rsid w:val="3FF1653A"/>
    <w:rsid w:val="404B79F8"/>
    <w:rsid w:val="407A208B"/>
    <w:rsid w:val="40E65973"/>
    <w:rsid w:val="427174BE"/>
    <w:rsid w:val="45B778DE"/>
    <w:rsid w:val="47242D51"/>
    <w:rsid w:val="47A04ACD"/>
    <w:rsid w:val="47AB2942"/>
    <w:rsid w:val="47CB7671"/>
    <w:rsid w:val="486755EB"/>
    <w:rsid w:val="48A73C3A"/>
    <w:rsid w:val="49867CF3"/>
    <w:rsid w:val="4BA40904"/>
    <w:rsid w:val="4BD765E4"/>
    <w:rsid w:val="4C40062D"/>
    <w:rsid w:val="4C771B75"/>
    <w:rsid w:val="4CE90CC5"/>
    <w:rsid w:val="4DB22677"/>
    <w:rsid w:val="4DD70B1D"/>
    <w:rsid w:val="4F3F3A23"/>
    <w:rsid w:val="4FF27E90"/>
    <w:rsid w:val="5075461D"/>
    <w:rsid w:val="507765E7"/>
    <w:rsid w:val="50B769E4"/>
    <w:rsid w:val="514F0487"/>
    <w:rsid w:val="521F2A93"/>
    <w:rsid w:val="5248023B"/>
    <w:rsid w:val="52860D64"/>
    <w:rsid w:val="55195EBF"/>
    <w:rsid w:val="5579695E"/>
    <w:rsid w:val="56BE0ACC"/>
    <w:rsid w:val="577365E1"/>
    <w:rsid w:val="5898534D"/>
    <w:rsid w:val="593B4656"/>
    <w:rsid w:val="594A6647"/>
    <w:rsid w:val="5A963B0E"/>
    <w:rsid w:val="5B70435F"/>
    <w:rsid w:val="5D9B58D7"/>
    <w:rsid w:val="5EAC6A18"/>
    <w:rsid w:val="5EFD415C"/>
    <w:rsid w:val="5F053010"/>
    <w:rsid w:val="5F6D12E1"/>
    <w:rsid w:val="60A056E7"/>
    <w:rsid w:val="617F354E"/>
    <w:rsid w:val="61E833C9"/>
    <w:rsid w:val="63332842"/>
    <w:rsid w:val="63690012"/>
    <w:rsid w:val="655009B4"/>
    <w:rsid w:val="685F3791"/>
    <w:rsid w:val="695452C0"/>
    <w:rsid w:val="69A57A49"/>
    <w:rsid w:val="69B63885"/>
    <w:rsid w:val="6A154A4F"/>
    <w:rsid w:val="6C5103EE"/>
    <w:rsid w:val="6C757A27"/>
    <w:rsid w:val="6D7D3917"/>
    <w:rsid w:val="6EBD690A"/>
    <w:rsid w:val="6F7E3097"/>
    <w:rsid w:val="6F8F2BAE"/>
    <w:rsid w:val="6FA84896"/>
    <w:rsid w:val="6FD26F3F"/>
    <w:rsid w:val="6FDE7692"/>
    <w:rsid w:val="6FDF07D2"/>
    <w:rsid w:val="7004359C"/>
    <w:rsid w:val="703A5210"/>
    <w:rsid w:val="725A3947"/>
    <w:rsid w:val="727D3192"/>
    <w:rsid w:val="738D38A8"/>
    <w:rsid w:val="73CC2623"/>
    <w:rsid w:val="73DC038C"/>
    <w:rsid w:val="73F6144E"/>
    <w:rsid w:val="742A10F7"/>
    <w:rsid w:val="74F84E80"/>
    <w:rsid w:val="75BE5576"/>
    <w:rsid w:val="761E5F4F"/>
    <w:rsid w:val="76856AB9"/>
    <w:rsid w:val="76F31C74"/>
    <w:rsid w:val="77071BC4"/>
    <w:rsid w:val="77F97944"/>
    <w:rsid w:val="793E47BF"/>
    <w:rsid w:val="7B51165F"/>
    <w:rsid w:val="7BBF0CBF"/>
    <w:rsid w:val="7CD460A4"/>
    <w:rsid w:val="7D6A6A08"/>
    <w:rsid w:val="7DDA3B8E"/>
    <w:rsid w:val="7DE762AB"/>
    <w:rsid w:val="7E002EC9"/>
    <w:rsid w:val="7F371326"/>
    <w:rsid w:val="7FE707E4"/>
    <w:rsid w:val="7FE74340"/>
    <w:rsid w:val="EF7B4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link w:val="19"/>
    <w:qFormat/>
    <w:uiPriority w:val="0"/>
    <w:pPr>
      <w:spacing w:after="120"/>
    </w:pPr>
    <w:rPr>
      <w:szCs w:val="24"/>
    </w:rPr>
  </w:style>
  <w:style w:type="paragraph" w:styleId="4">
    <w:name w:val="Body Text Indent"/>
    <w:basedOn w:val="1"/>
    <w:link w:val="20"/>
    <w:qFormat/>
    <w:uiPriority w:val="0"/>
    <w:pPr>
      <w:spacing w:after="120"/>
      <w:ind w:left="420" w:leftChars="200"/>
    </w:pPr>
    <w:rPr>
      <w:szCs w:val="24"/>
    </w:rPr>
  </w:style>
  <w:style w:type="paragraph" w:styleId="5">
    <w:name w:val="Plain Text"/>
    <w:basedOn w:val="1"/>
    <w:link w:val="28"/>
    <w:unhideWhenUsed/>
    <w:qFormat/>
    <w:uiPriority w:val="0"/>
    <w:rPr>
      <w:rFonts w:ascii="宋体" w:hAnsi="Courier New" w:cs="Courier New"/>
      <w14:ligatures w14:val="standardContextual"/>
    </w:rPr>
  </w:style>
  <w:style w:type="paragraph" w:styleId="6">
    <w:name w:val="Date"/>
    <w:basedOn w:val="1"/>
    <w:next w:val="1"/>
    <w:link w:val="30"/>
    <w:semiHidden/>
    <w:unhideWhenUsed/>
    <w:qFormat/>
    <w:uiPriority w:val="99"/>
    <w:pPr>
      <w:ind w:left="100" w:leftChars="2500"/>
    </w:pPr>
  </w:style>
  <w:style w:type="paragraph" w:styleId="7">
    <w:name w:val="footer"/>
    <w:basedOn w:val="1"/>
    <w:link w:val="18"/>
    <w:unhideWhenUsed/>
    <w:qFormat/>
    <w:uiPriority w:val="0"/>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rPr>
      <w:sz w:val="24"/>
      <w:szCs w:val="24"/>
    </w:rPr>
  </w:style>
  <w:style w:type="paragraph" w:styleId="10">
    <w:name w:val="Title"/>
    <w:basedOn w:val="1"/>
    <w:link w:val="21"/>
    <w:qFormat/>
    <w:uiPriority w:val="0"/>
    <w:pPr>
      <w:jc w:val="center"/>
    </w:pPr>
    <w:rPr>
      <w:b/>
      <w:bCs/>
      <w:sz w:val="32"/>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annotation reference"/>
    <w:basedOn w:val="13"/>
    <w:semiHidden/>
    <w:unhideWhenUsed/>
    <w:qFormat/>
    <w:uiPriority w:val="99"/>
    <w:rPr>
      <w:sz w:val="21"/>
      <w:szCs w:val="21"/>
    </w:rPr>
  </w:style>
  <w:style w:type="character" w:customStyle="1" w:styleId="16">
    <w:name w:val="16"/>
    <w:basedOn w:val="13"/>
    <w:qFormat/>
    <w:uiPriority w:val="0"/>
    <w:rPr>
      <w:rFonts w:hint="default" w:ascii="Times New Roman" w:hAnsi="Times New Roman" w:cs="Times New Roman"/>
      <w:b/>
      <w:bCs/>
    </w:rPr>
  </w:style>
  <w:style w:type="character" w:customStyle="1" w:styleId="17">
    <w:name w:val="页眉 字符"/>
    <w:basedOn w:val="13"/>
    <w:link w:val="8"/>
    <w:qFormat/>
    <w:uiPriority w:val="99"/>
    <w:rPr>
      <w:rFonts w:ascii="Times New Roman" w:hAnsi="Times New Roman" w:eastAsia="宋体" w:cs="Times New Roman"/>
      <w:sz w:val="18"/>
      <w:szCs w:val="18"/>
    </w:rPr>
  </w:style>
  <w:style w:type="character" w:customStyle="1" w:styleId="18">
    <w:name w:val="页脚 字符"/>
    <w:basedOn w:val="13"/>
    <w:link w:val="7"/>
    <w:semiHidden/>
    <w:qFormat/>
    <w:uiPriority w:val="99"/>
    <w:rPr>
      <w:rFonts w:ascii="Times New Roman" w:hAnsi="Times New Roman" w:eastAsia="宋体" w:cs="Times New Roman"/>
      <w:sz w:val="18"/>
      <w:szCs w:val="18"/>
    </w:rPr>
  </w:style>
  <w:style w:type="character" w:customStyle="1" w:styleId="19">
    <w:name w:val="正文文本 字符"/>
    <w:basedOn w:val="13"/>
    <w:link w:val="3"/>
    <w:qFormat/>
    <w:uiPriority w:val="0"/>
    <w:rPr>
      <w:rFonts w:ascii="Times New Roman" w:hAnsi="Times New Roman" w:eastAsia="宋体" w:cs="Times New Roman"/>
      <w:szCs w:val="24"/>
    </w:rPr>
  </w:style>
  <w:style w:type="character" w:customStyle="1" w:styleId="20">
    <w:name w:val="正文文本缩进 字符"/>
    <w:basedOn w:val="13"/>
    <w:link w:val="4"/>
    <w:qFormat/>
    <w:uiPriority w:val="0"/>
    <w:rPr>
      <w:rFonts w:ascii="Times New Roman" w:hAnsi="Times New Roman" w:eastAsia="宋体" w:cs="Times New Roman"/>
      <w:szCs w:val="24"/>
    </w:rPr>
  </w:style>
  <w:style w:type="character" w:customStyle="1" w:styleId="21">
    <w:name w:val="标题 字符"/>
    <w:basedOn w:val="13"/>
    <w:link w:val="10"/>
    <w:qFormat/>
    <w:uiPriority w:val="0"/>
    <w:rPr>
      <w:rFonts w:ascii="Times New Roman" w:hAnsi="Times New Roman" w:eastAsia="宋体" w:cs="Times New Roman"/>
      <w:b/>
      <w:bCs/>
      <w:sz w:val="32"/>
      <w:szCs w:val="24"/>
    </w:rPr>
  </w:style>
  <w:style w:type="paragraph" w:customStyle="1" w:styleId="22">
    <w:name w:val="Revision"/>
    <w:hidden/>
    <w:unhideWhenUsed/>
    <w:qFormat/>
    <w:uiPriority w:val="99"/>
    <w:rPr>
      <w:rFonts w:ascii="Times New Roman" w:hAnsi="Times New Roman" w:eastAsia="宋体" w:cs="Times New Roman"/>
      <w:kern w:val="2"/>
      <w:sz w:val="21"/>
      <w:szCs w:val="21"/>
      <w:lang w:val="en-US" w:eastAsia="zh-CN" w:bidi="ar-SA"/>
    </w:rPr>
  </w:style>
  <w:style w:type="paragraph" w:customStyle="1" w:styleId="23">
    <w:name w:val="文件标题"/>
    <w:basedOn w:val="1"/>
    <w:qFormat/>
    <w:uiPriority w:val="0"/>
    <w:pPr>
      <w:adjustRightInd w:val="0"/>
      <w:jc w:val="center"/>
      <w:outlineLvl w:val="0"/>
    </w:pPr>
    <w:rPr>
      <w:rFonts w:ascii="宋体" w:hAnsi="宋体"/>
      <w:b/>
      <w:color w:val="000000"/>
      <w:sz w:val="44"/>
      <w:szCs w:val="44"/>
    </w:rPr>
  </w:style>
  <w:style w:type="paragraph" w:customStyle="1" w:styleId="24">
    <w:name w:val="文件点标题"/>
    <w:basedOn w:val="1"/>
    <w:qFormat/>
    <w:uiPriority w:val="0"/>
    <w:pPr>
      <w:ind w:firstLine="562" w:firstLineChars="200"/>
    </w:pPr>
    <w:rPr>
      <w:rFonts w:ascii="黑体" w:hAnsi="黑体" w:eastAsia="黑体"/>
      <w:b/>
      <w:sz w:val="28"/>
      <w:szCs w:val="28"/>
    </w:rPr>
  </w:style>
  <w:style w:type="paragraph" w:customStyle="1" w:styleId="25">
    <w:name w:val="文件落款"/>
    <w:basedOn w:val="1"/>
    <w:qFormat/>
    <w:uiPriority w:val="0"/>
    <w:pPr>
      <w:ind w:firstLine="4480" w:firstLineChars="1600"/>
    </w:pPr>
    <w:rPr>
      <w:rFonts w:ascii="仿宋" w:hAnsi="仿宋" w:eastAsia="仿宋"/>
      <w:sz w:val="28"/>
      <w:szCs w:val="28"/>
    </w:rPr>
  </w:style>
  <w:style w:type="paragraph" w:customStyle="1" w:styleId="26">
    <w:name w:val="文件章标题"/>
    <w:basedOn w:val="1"/>
    <w:qFormat/>
    <w:uiPriority w:val="0"/>
    <w:pPr>
      <w:adjustRightInd w:val="0"/>
      <w:jc w:val="center"/>
    </w:pPr>
    <w:rPr>
      <w:rFonts w:ascii="黑体" w:hAnsi="黑体" w:eastAsia="黑体"/>
      <w:b/>
      <w:color w:val="000000"/>
      <w:sz w:val="28"/>
      <w:szCs w:val="28"/>
    </w:rPr>
  </w:style>
  <w:style w:type="paragraph" w:customStyle="1" w:styleId="27">
    <w:name w:val="文件正文"/>
    <w:basedOn w:val="9"/>
    <w:qFormat/>
    <w:uiPriority w:val="0"/>
    <w:pPr>
      <w:shd w:val="clear" w:color="auto" w:fill="FFFFFF"/>
      <w:adjustRightInd w:val="0"/>
      <w:ind w:firstLine="200" w:firstLineChars="200"/>
    </w:pPr>
    <w:rPr>
      <w:rFonts w:ascii="仿宋" w:hAnsi="仿宋" w:eastAsia="仿宋" w:cs="宋体"/>
      <w:color w:val="000000"/>
      <w:kern w:val="0"/>
      <w:sz w:val="28"/>
      <w:szCs w:val="28"/>
    </w:rPr>
  </w:style>
  <w:style w:type="character" w:customStyle="1" w:styleId="28">
    <w:name w:val="纯文本 字符"/>
    <w:basedOn w:val="13"/>
    <w:link w:val="5"/>
    <w:qFormat/>
    <w:uiPriority w:val="0"/>
    <w:rPr>
      <w:rFonts w:ascii="宋体" w:hAnsi="Courier New" w:cs="Courier New"/>
      <w:kern w:val="2"/>
      <w:sz w:val="21"/>
      <w:szCs w:val="21"/>
      <w14:ligatures w14:val="standardContextual"/>
    </w:rPr>
  </w:style>
  <w:style w:type="paragraph" w:customStyle="1" w:styleId="29">
    <w:name w:val="文件附件"/>
    <w:basedOn w:val="1"/>
    <w:qFormat/>
    <w:uiPriority w:val="0"/>
    <w:pPr>
      <w:widowControl/>
      <w:jc w:val="left"/>
    </w:pPr>
    <w:rPr>
      <w:rFonts w:ascii="仿宋" w:hAnsi="黑体" w:eastAsia="仿宋" w:cstheme="minorBidi"/>
      <w:bCs/>
      <w:color w:val="000000"/>
      <w:szCs w:val="24"/>
      <w14:ligatures w14:val="standardContextual"/>
    </w:rPr>
  </w:style>
  <w:style w:type="character" w:customStyle="1" w:styleId="30">
    <w:name w:val="日期 字符"/>
    <w:basedOn w:val="13"/>
    <w:link w:val="6"/>
    <w:semiHidden/>
    <w:qFormat/>
    <w:uiPriority w:val="99"/>
    <w:rPr>
      <w:kern w:val="2"/>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1855</Words>
  <Characters>1906</Characters>
  <Lines>14</Lines>
  <Paragraphs>4</Paragraphs>
  <TotalTime>22</TotalTime>
  <ScaleCrop>false</ScaleCrop>
  <LinksUpToDate>false</LinksUpToDate>
  <CharactersWithSpaces>1935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2024-08-14T03:19:00Z</dcterms:created>
  <dc:creator>LENOVO26</dc:creator>
  <cp:lastModifiedBy>土豆</cp:lastModifiedBy>
  <dcterms:modified xsi:type="dcterms:W3CDTF">2026-04-03T02:01:52Z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646497D3E9594901B70BC7F3BD46205F_13</vt:lpwstr>
  </property>
</Properties>
</file>