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240" w:lineRule="auto"/>
        <w:jc w:val="left"/>
        <w:textAlignment w:val="auto"/>
        <w:outlineLvl w:val="0"/>
        <w:rPr>
          <w:rFonts w:hint="eastAsia" w:eastAsia="黑体"/>
          <w:kern w:val="44"/>
          <w:sz w:val="21"/>
          <w:szCs w:val="21"/>
          <w:lang w:eastAsia="zh-CN"/>
        </w:rPr>
      </w:pPr>
      <w:r>
        <w:rPr>
          <w:rFonts w:hint="eastAsia" w:ascii="黑体" w:hAnsi="黑体" w:eastAsia="黑体" w:cs="黑体"/>
          <w:b w:val="0"/>
          <w:sz w:val="21"/>
          <w:szCs w:val="21"/>
        </w:rPr>
        <w:t>附件</w:t>
      </w: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</w:pPr>
      <w:r>
        <w:rPr>
          <w:rFonts w:ascii="Times New Roman" w:hAnsi="Times New Roman" w:eastAsia="方正小标宋简体"/>
          <w:b/>
          <w:sz w:val="32"/>
        </w:rPr>
        <w:t>南京审计大学金审学院</w:t>
      </w:r>
      <w:r>
        <w:rPr>
          <w:rFonts w:hint="eastAsia" w:ascii="Times New Roman" w:hAnsi="Times New Roman" w:eastAsia="方正小标宋简体"/>
          <w:b/>
          <w:sz w:val="32"/>
        </w:rPr>
        <w:t>“1+4+8”</w:t>
      </w:r>
      <w:r>
        <w:rPr>
          <w:rFonts w:ascii="Times New Roman" w:hAnsi="Times New Roman" w:eastAsia="方正小标宋简体"/>
          <w:b/>
          <w:sz w:val="32"/>
        </w:rPr>
        <w:t>人才培养模式改革重点任务</w:t>
      </w: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/>
        <w:textAlignment w:val="auto"/>
        <w:rPr>
          <w:rFonts w:ascii="Times New Roman" w:hAnsi="Times New Roman" w:eastAsia="黑体"/>
          <w:b/>
          <w:sz w:val="28"/>
          <w:szCs w:val="24"/>
        </w:rPr>
      </w:pPr>
      <w:r>
        <w:rPr>
          <w:rFonts w:ascii="Times New Roman" w:hAnsi="Times New Roman" w:eastAsia="黑体"/>
          <w:b/>
          <w:sz w:val="28"/>
          <w:szCs w:val="24"/>
        </w:rPr>
        <w:t>一根主轴：</w:t>
      </w:r>
      <w:r>
        <w:rPr>
          <w:rFonts w:hint="eastAsia" w:ascii="Times New Roman" w:hAnsi="Times New Roman" w:eastAsia="黑体"/>
          <w:b/>
          <w:sz w:val="28"/>
          <w:szCs w:val="24"/>
        </w:rPr>
        <w:t>重构能力导向的人才培养目标体系</w:t>
      </w:r>
    </w:p>
    <w:tbl>
      <w:tblPr>
        <w:tblStyle w:val="3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5441"/>
        <w:gridCol w:w="1213"/>
        <w:gridCol w:w="1213"/>
        <w:gridCol w:w="1213"/>
        <w:gridCol w:w="5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7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序号</w:t>
            </w:r>
          </w:p>
        </w:tc>
        <w:tc>
          <w:tcPr>
            <w:tcW w:w="1812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任务事项</w:t>
            </w:r>
          </w:p>
        </w:tc>
        <w:tc>
          <w:tcPr>
            <w:tcW w:w="404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责任部门</w:t>
            </w:r>
          </w:p>
        </w:tc>
        <w:tc>
          <w:tcPr>
            <w:tcW w:w="404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协同部门</w:t>
            </w:r>
          </w:p>
        </w:tc>
        <w:tc>
          <w:tcPr>
            <w:tcW w:w="404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完成时限</w:t>
            </w:r>
          </w:p>
        </w:tc>
        <w:tc>
          <w:tcPr>
            <w:tcW w:w="1737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成果形式 / 验收标准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37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12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修订《南京审计大学金审学院课程教学大纲编写规范及管理办法》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2027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737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新版大纲模板发布，全面使用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37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12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实施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学校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十五五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学科专业建设规划中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优势专业进阶计划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一流课程分层分类建设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计划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持续</w:t>
            </w:r>
          </w:p>
        </w:tc>
        <w:tc>
          <w:tcPr>
            <w:tcW w:w="1737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到2029年累计不少于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0门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三期立项清单与年度检查验收结果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237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12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修订《南京审计大学金审学院课程考核管理办法》，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深化考核评价改革，提高过程性、开放性、能力型考核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的课程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比重至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0%以上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9年</w:t>
            </w:r>
          </w:p>
        </w:tc>
        <w:tc>
          <w:tcPr>
            <w:tcW w:w="1737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2027年公布文件；持续优化课程考核方案，实行课程考核方式备案审查，逐年扩大实施范围，2028年采用新考核方式的课程比例达到60%，2029年达到90%以上</w:t>
            </w:r>
          </w:p>
        </w:tc>
      </w:tr>
    </w:tbl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/>
        <w:textAlignment w:val="auto"/>
        <w:rPr>
          <w:rFonts w:ascii="Times New Roman" w:hAnsi="Times New Roman" w:eastAsia="黑体"/>
          <w:b/>
          <w:sz w:val="28"/>
          <w:szCs w:val="24"/>
        </w:rPr>
      </w:pPr>
      <w:r>
        <w:rPr>
          <w:rFonts w:ascii="Times New Roman" w:hAnsi="Times New Roman" w:eastAsia="黑体"/>
          <w:b/>
          <w:sz w:val="28"/>
          <w:szCs w:val="24"/>
        </w:rPr>
        <w:t>横梁一：</w:t>
      </w:r>
      <w:r>
        <w:rPr>
          <w:rFonts w:hint="eastAsia" w:ascii="Times New Roman" w:hAnsi="Times New Roman" w:eastAsia="黑体"/>
          <w:b/>
          <w:sz w:val="28"/>
          <w:szCs w:val="24"/>
        </w:rPr>
        <w:t>AI能力培养</w:t>
      </w:r>
    </w:p>
    <w:tbl>
      <w:tblPr>
        <w:tblStyle w:val="3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5411"/>
        <w:gridCol w:w="1214"/>
        <w:gridCol w:w="1214"/>
        <w:gridCol w:w="1214"/>
        <w:gridCol w:w="5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246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序号</w:t>
            </w:r>
          </w:p>
        </w:tc>
        <w:tc>
          <w:tcPr>
            <w:tcW w:w="1801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任务事项</w:t>
            </w:r>
          </w:p>
        </w:tc>
        <w:tc>
          <w:tcPr>
            <w:tcW w:w="404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责任部门</w:t>
            </w:r>
          </w:p>
        </w:tc>
        <w:tc>
          <w:tcPr>
            <w:tcW w:w="404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协同部门</w:t>
            </w:r>
          </w:p>
        </w:tc>
        <w:tc>
          <w:tcPr>
            <w:tcW w:w="404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完成时限</w:t>
            </w:r>
          </w:p>
        </w:tc>
        <w:tc>
          <w:tcPr>
            <w:tcW w:w="1737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成果形式 / 验收标准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01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面向全体学生开设3学分《计算机基础与人工智能》必修课，覆盖AI基本原理、工具应用、数据伦理与学术诚信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信息科学与工程学院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2026年9月起持续</w:t>
            </w:r>
          </w:p>
        </w:tc>
        <w:tc>
          <w:tcPr>
            <w:tcW w:w="1737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纳入2026版培养方案通识必修模块，2026级开课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24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01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实现课程AI应用全覆盖，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在此基础上推动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AI+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与专业课程体系深度融合，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各专业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学科基础课中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AI+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课程占比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不低于8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0%、专业核心课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中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AI+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课程占比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不低于7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0%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9年</w:t>
            </w:r>
          </w:p>
        </w:tc>
        <w:tc>
          <w:tcPr>
            <w:tcW w:w="1737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课程大纲备案，教务处逐门验收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24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01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依托现有智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慧课程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平台推进智能化应用升级，建设“AI应用超市”、虚拟仿真实验室、PBL教学空间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引进或开发学科大模型，支撑个性化学习路径与资源推送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教务处、各学院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信息化处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2028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1737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智能教学平台完成智能化应用升级，学科大模型引进或开发落地，形成助教、助学、助研、助管、助评应用场景，学情与教情画像支撑个性化教学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24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801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出台《南京审计大学金审学院教学人工智能工具使用规范（试行）》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学生处、各学院</w:t>
            </w:r>
          </w:p>
        </w:tc>
        <w:tc>
          <w:tcPr>
            <w:tcW w:w="404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7年6月</w:t>
            </w:r>
          </w:p>
        </w:tc>
        <w:tc>
          <w:tcPr>
            <w:tcW w:w="1737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正式发文，面向师生开展宣讲</w:t>
            </w:r>
          </w:p>
        </w:tc>
      </w:tr>
    </w:tbl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/>
        <w:textAlignment w:val="auto"/>
        <w:rPr>
          <w:rFonts w:ascii="Times New Roman" w:hAnsi="Times New Roman" w:eastAsia="黑体"/>
          <w:b/>
          <w:sz w:val="28"/>
          <w:szCs w:val="24"/>
        </w:rPr>
      </w:pPr>
      <w:r>
        <w:rPr>
          <w:rFonts w:ascii="Times New Roman" w:hAnsi="Times New Roman" w:eastAsia="黑体"/>
          <w:b/>
          <w:sz w:val="28"/>
          <w:szCs w:val="24"/>
        </w:rPr>
        <w:t>横梁二：</w:t>
      </w:r>
      <w:r>
        <w:rPr>
          <w:rFonts w:hint="eastAsia" w:ascii="Times New Roman" w:hAnsi="Times New Roman" w:eastAsia="黑体"/>
          <w:b/>
          <w:sz w:val="28"/>
          <w:szCs w:val="24"/>
        </w:rPr>
        <w:t>应用型培养</w:t>
      </w:r>
    </w:p>
    <w:tbl>
      <w:tblPr>
        <w:tblStyle w:val="3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5396"/>
        <w:gridCol w:w="1217"/>
        <w:gridCol w:w="1217"/>
        <w:gridCol w:w="1217"/>
        <w:gridCol w:w="5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4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序号</w:t>
            </w:r>
          </w:p>
        </w:tc>
        <w:tc>
          <w:tcPr>
            <w:tcW w:w="1796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任务事项</w:t>
            </w:r>
          </w:p>
        </w:tc>
        <w:tc>
          <w:tcPr>
            <w:tcW w:w="40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责任部门</w:t>
            </w:r>
          </w:p>
        </w:tc>
        <w:tc>
          <w:tcPr>
            <w:tcW w:w="40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协同部门</w:t>
            </w:r>
          </w:p>
        </w:tc>
        <w:tc>
          <w:tcPr>
            <w:tcW w:w="40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完成时限</w:t>
            </w:r>
          </w:p>
        </w:tc>
        <w:tc>
          <w:tcPr>
            <w:tcW w:w="1740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成果形式 / 验收标准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实现“一院一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品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”全覆盖，建立分类台账（订单班/冠名班/特色班）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2027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月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每个学院至少建成1个订单班/冠名班/特色班;各学院备案表，订单班/冠名班/特色班合作协议与运行记录齐备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推动1.0向2.0升级：企业实质性参与专业共建、课程共担、教材共编、师资共训、基地共建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持续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每年具有显示度的新成果，2028年6月所有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专业达2.0标准，形成“五共”佐证材料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筑牢实践教学底座，构建课内课外衔接的四类课堂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，依托校企共建基地组织社会实践与双创项目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持续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每年有实质性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基地与项目清单，实践课程与活动记录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现代产业学院建设：2027年建成2—3个校级现代产业学院并取得阶段性成果；2029年达3—5个，申报省级产教融合型品牌专业、省级产教融合重点基地等省级建设项目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相关学院、综合办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9年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产业学院章程、理事会、实体化平台与运行记录；省级申报材料与获批结果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推行“3+1”等弹性修学模式与长短学期制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持续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改革专业清单及差异化培养方案论证报告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推进课证融通，将职业资格与行业认证标准嵌入课程体系，实现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课程+认证+就业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三位一体；提升职业资格证获取率与毕业生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双证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（学历学位证书+职业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资格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证书）获取率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持续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认证标准嵌入课程大纲；分专业统计职业资格证获取率、毕业生双证获取率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专任教师中“双师双能型”教师比例达到80%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教师教学发展中心、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人事处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2029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“双师双能型”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教师名册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87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各专业企业兼职教师库不少于10人；制定校级产业教授选聘与管理办法，立项建设专业应在结项时达到相应的产业教授人数要求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教师教学发展中心、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人事处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2029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兼职教师库名册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进阶计划建设专业结项时品牌筑基阶、特色创优阶、高峰引领阶分别不少于1名、2名、3名校级产业教授，其中高峰引领阶建设专业须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聘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有不少于1名省级产业教授</w:t>
            </w:r>
          </w:p>
        </w:tc>
      </w:tr>
    </w:tbl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/>
        <w:textAlignment w:val="auto"/>
        <w:rPr>
          <w:rFonts w:ascii="Times New Roman" w:hAnsi="Times New Roman" w:eastAsia="黑体"/>
          <w:b/>
          <w:sz w:val="28"/>
          <w:szCs w:val="24"/>
        </w:rPr>
      </w:pPr>
      <w:r>
        <w:rPr>
          <w:rFonts w:ascii="Times New Roman" w:hAnsi="Times New Roman" w:eastAsia="黑体"/>
          <w:b/>
          <w:sz w:val="28"/>
          <w:szCs w:val="24"/>
        </w:rPr>
        <w:t>横梁三：</w:t>
      </w:r>
      <w:r>
        <w:rPr>
          <w:rFonts w:hint="eastAsia" w:ascii="Times New Roman" w:hAnsi="Times New Roman" w:eastAsia="黑体"/>
          <w:b/>
          <w:sz w:val="28"/>
          <w:szCs w:val="24"/>
        </w:rPr>
        <w:t>交叉复合培养</w:t>
      </w:r>
    </w:p>
    <w:tbl>
      <w:tblPr>
        <w:tblStyle w:val="3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5396"/>
        <w:gridCol w:w="1217"/>
        <w:gridCol w:w="1217"/>
        <w:gridCol w:w="1217"/>
        <w:gridCol w:w="5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4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序号</w:t>
            </w:r>
          </w:p>
        </w:tc>
        <w:tc>
          <w:tcPr>
            <w:tcW w:w="1796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任务事项</w:t>
            </w:r>
          </w:p>
        </w:tc>
        <w:tc>
          <w:tcPr>
            <w:tcW w:w="40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责任部门</w:t>
            </w:r>
          </w:p>
        </w:tc>
        <w:tc>
          <w:tcPr>
            <w:tcW w:w="40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协同部门</w:t>
            </w:r>
          </w:p>
        </w:tc>
        <w:tc>
          <w:tcPr>
            <w:tcW w:w="40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完成时限</w:t>
            </w:r>
          </w:p>
        </w:tc>
        <w:tc>
          <w:tcPr>
            <w:tcW w:w="1740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成果形式 / 验收标准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每个学院至少建设1个微专业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重点建设智能审计、绿色金融与碳中和等特色微专业，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鼓励“校企合作班+微专业”叠加培养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持续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微专业开设清单及年度招生修读数据、证书发放记录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做深“审计+”与“+审计”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推进课程共建、师资互聘、平台共用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审计学院、各学院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持续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提升非审计专业审计通识课建设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成效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，打造一批“审计+”特色融合课程，纳入学校“十五五”一流课程建设计划统一认定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组建跨学院、跨学科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跨专业联合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教研室，推广智能审计联合教研室建设经验；鼓励组建虚拟教研室，开展“线上+线下”协同教研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持续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教研室名单，教研活动与资源共建记录</w:t>
            </w:r>
          </w:p>
        </w:tc>
      </w:tr>
    </w:tbl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/>
        <w:textAlignment w:val="auto"/>
        <w:rPr>
          <w:rFonts w:hint="eastAsia" w:ascii="Times New Roman" w:hAnsi="Times New Roman" w:eastAsia="黑体"/>
          <w:b/>
          <w:sz w:val="28"/>
          <w:szCs w:val="24"/>
          <w:lang w:eastAsia="zh-CN"/>
        </w:rPr>
      </w:pPr>
      <w:r>
        <w:rPr>
          <w:rFonts w:ascii="Times New Roman" w:hAnsi="Times New Roman" w:eastAsia="黑体"/>
          <w:b/>
          <w:sz w:val="28"/>
          <w:szCs w:val="24"/>
        </w:rPr>
        <w:t>横梁四：</w:t>
      </w:r>
      <w:r>
        <w:rPr>
          <w:rFonts w:hint="eastAsia" w:ascii="Times New Roman" w:hAnsi="Times New Roman" w:eastAsia="黑体"/>
          <w:b/>
          <w:sz w:val="28"/>
          <w:szCs w:val="24"/>
        </w:rPr>
        <w:t>分层分类</w:t>
      </w:r>
      <w:r>
        <w:rPr>
          <w:rFonts w:hint="eastAsia" w:ascii="Times New Roman" w:hAnsi="Times New Roman" w:eastAsia="黑体"/>
          <w:b/>
          <w:sz w:val="28"/>
          <w:szCs w:val="24"/>
          <w:lang w:val="en-US" w:eastAsia="zh-CN"/>
        </w:rPr>
        <w:t>培养</w:t>
      </w:r>
    </w:p>
    <w:tbl>
      <w:tblPr>
        <w:tblStyle w:val="3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5396"/>
        <w:gridCol w:w="1217"/>
        <w:gridCol w:w="1217"/>
        <w:gridCol w:w="1217"/>
        <w:gridCol w:w="5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4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序号</w:t>
            </w:r>
          </w:p>
        </w:tc>
        <w:tc>
          <w:tcPr>
            <w:tcW w:w="1796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任务事项</w:t>
            </w:r>
          </w:p>
        </w:tc>
        <w:tc>
          <w:tcPr>
            <w:tcW w:w="40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责任部门</w:t>
            </w:r>
          </w:p>
        </w:tc>
        <w:tc>
          <w:tcPr>
            <w:tcW w:w="40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协同部门</w:t>
            </w:r>
          </w:p>
        </w:tc>
        <w:tc>
          <w:tcPr>
            <w:tcW w:w="40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完成时限</w:t>
            </w:r>
          </w:p>
        </w:tc>
        <w:tc>
          <w:tcPr>
            <w:tcW w:w="1740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成果形式 / 验收标准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公共基础课分层分类全覆盖（大学英语先行，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推广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至数学、计算机）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相关院（部）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2029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大学英语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数学、计算机覆盖率达100%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88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建立卓越人才储备台账，按研究型、应用型、双创型三类卓越人才分类建库，依托实验班、联合培养班、导师制与创新训练实施培养，坚持把学科竞赛作为重要抓手，实行可上可下动态进出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教务处、学生处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、校团委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2027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年起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分类建库名册与动态进出调整记录；入库学生在考研升学、职业证书、学科竞赛、创新创业等方面的标志性成果统计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4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每学年发布《分层分类培养质量报告（能力导向）》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质评处、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持续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年度报告，含学生纳入分类赛道比例（按四类赛道分列）、转入转出比、学业表现</w:t>
            </w:r>
          </w:p>
        </w:tc>
      </w:tr>
    </w:tbl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/>
        <w:textAlignment w:val="auto"/>
        <w:rPr>
          <w:rFonts w:ascii="Times New Roman" w:hAnsi="Times New Roman" w:eastAsia="黑体"/>
          <w:b/>
          <w:sz w:val="28"/>
          <w:szCs w:val="24"/>
        </w:rPr>
      </w:pPr>
      <w:r>
        <w:rPr>
          <w:rFonts w:ascii="Times New Roman" w:hAnsi="Times New Roman" w:eastAsia="黑体"/>
          <w:b/>
          <w:sz w:val="28"/>
          <w:szCs w:val="24"/>
        </w:rPr>
        <w:t>八根支柱：系统保障（组织·制度·专业·课程·师资·平台·评价·经费）</w:t>
      </w:r>
    </w:p>
    <w:tbl>
      <w:tblPr>
        <w:tblStyle w:val="3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5396"/>
        <w:gridCol w:w="1217"/>
        <w:gridCol w:w="1217"/>
        <w:gridCol w:w="1217"/>
        <w:gridCol w:w="52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4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序号</w:t>
            </w:r>
          </w:p>
        </w:tc>
        <w:tc>
          <w:tcPr>
            <w:tcW w:w="1796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任务事项</w:t>
            </w:r>
          </w:p>
        </w:tc>
        <w:tc>
          <w:tcPr>
            <w:tcW w:w="40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责任部门</w:t>
            </w:r>
          </w:p>
        </w:tc>
        <w:tc>
          <w:tcPr>
            <w:tcW w:w="40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协同部门</w:t>
            </w:r>
          </w:p>
        </w:tc>
        <w:tc>
          <w:tcPr>
            <w:tcW w:w="405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完成时限</w:t>
            </w:r>
          </w:p>
        </w:tc>
        <w:tc>
          <w:tcPr>
            <w:tcW w:w="1740" w:type="pct"/>
            <w:shd w:val="clear" w:color="auto" w:fill="F1EFE8"/>
            <w:vAlign w:val="center"/>
          </w:tcPr>
          <w:p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eastAsia="黑体"/>
                <w:b/>
                <w:sz w:val="24"/>
                <w:szCs w:val="36"/>
              </w:rPr>
              <w:t>成果形式 / 验收标准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成立人才培养模式改革工作领导小组（校长任组长），办公室设在教务处；各学院成立工作专班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相关职能部门、各学院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2026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年12月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成立文件与成员名单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，负责顶层设计、重大决策和统筹协调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各学院制定本院实施方案，明确时间表、路线图、责任人，报教务处备案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2026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年11月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各学院实施方案按时备案率100%，报备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信息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齐全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修订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《南京审计大学金审学院教材管理规定》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2027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公布文件，新形态教材、数字化教材与产教融合教材共编支持条款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出台《南京审计大学金审学院分层分类培养质量报告模板（能力导向）》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质量评估处、</w:t>
            </w:r>
          </w:p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各学院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2027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公布文件，与年度报告衔接，含纳入分类赛道比例等核心指标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建立教师AI教学能力认证机制，每学期组织不少于2次OBE、PBL、AI教学应用、评价改革专题培训，设立教学改革专项奖励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教师教学发展中心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人事处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持续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分主题培训（OBE、PBL、AI教学应用、评价改革）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教学改革专项奖励评选办法与年度获奖名单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统筹推进校内实验实训平台改造升级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，校企共建产教融合实训平台，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智慧教室改造与教学平台互联互通，支撑个性化教学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教务处、信息化处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后勤处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2028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年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平台改造清单与共建协议，智慧教室验收及互联互通运行记录，个性化教学案例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4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796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设立人才培养模式改革专项基金，列入年度预算，向成效突出的专业与平台倾斜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定期开展专项经费使用绩效评估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财务处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教务处</w:t>
            </w:r>
          </w:p>
        </w:tc>
        <w:tc>
          <w:tcPr>
            <w:tcW w:w="405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每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年度</w:t>
            </w:r>
          </w:p>
        </w:tc>
        <w:tc>
          <w:tcPr>
            <w:tcW w:w="1740" w:type="pct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统一规划、单独核算、专款专用，年度经费使用台账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年度绩效评估报告</w:t>
            </w:r>
          </w:p>
        </w:tc>
      </w:tr>
    </w:tbl>
    <w:p>
      <w:pPr>
        <w:spacing w:before="200"/>
      </w:pPr>
      <w:r>
        <w:rPr>
          <w:rFonts w:ascii="Times New Roman" w:hAnsi="Times New Roman" w:eastAsia="黑体"/>
          <w:b/>
          <w:sz w:val="21"/>
        </w:rPr>
        <w:t>使用说明</w:t>
      </w:r>
    </w:p>
    <w:p>
      <w:pPr>
        <w:spacing w:after="40"/>
        <w:rPr>
          <w:sz w:val="21"/>
          <w:szCs w:val="21"/>
        </w:rPr>
      </w:pPr>
      <w:r>
        <w:rPr>
          <w:rFonts w:ascii="Times New Roman" w:hAnsi="Times New Roman" w:eastAsia="仿宋_GB2312"/>
          <w:b w:val="0"/>
          <w:sz w:val="21"/>
          <w:szCs w:val="21"/>
        </w:rPr>
        <w:t>1. 本</w:t>
      </w:r>
      <w:r>
        <w:rPr>
          <w:rFonts w:hint="eastAsia" w:ascii="Times New Roman" w:hAnsi="Times New Roman" w:eastAsia="仿宋_GB2312"/>
          <w:b w:val="0"/>
          <w:sz w:val="21"/>
          <w:szCs w:val="21"/>
          <w:lang w:val="en-US" w:eastAsia="zh-CN"/>
        </w:rPr>
        <w:t>附件</w:t>
      </w:r>
      <w:r>
        <w:rPr>
          <w:rFonts w:ascii="Times New Roman" w:hAnsi="Times New Roman" w:eastAsia="仿宋_GB2312"/>
          <w:b w:val="0"/>
          <w:sz w:val="21"/>
          <w:szCs w:val="21"/>
        </w:rPr>
        <w:t>共</w:t>
      </w:r>
      <w:r>
        <w:rPr>
          <w:rFonts w:hint="eastAsia" w:ascii="Times New Roman" w:hAnsi="Times New Roman" w:eastAsia="仿宋_GB2312"/>
          <w:b w:val="0"/>
          <w:sz w:val="21"/>
          <w:szCs w:val="21"/>
          <w:lang w:val="en-US" w:eastAsia="zh-CN"/>
        </w:rPr>
        <w:t>28</w:t>
      </w:r>
      <w:r>
        <w:rPr>
          <w:rFonts w:ascii="Times New Roman" w:hAnsi="Times New Roman" w:eastAsia="仿宋_GB2312"/>
          <w:b w:val="0"/>
          <w:sz w:val="21"/>
          <w:szCs w:val="21"/>
        </w:rPr>
        <w:t>项任务，是改革推进的挂图作战表；各学院可在此基础上细化本院子</w:t>
      </w:r>
      <w:r>
        <w:rPr>
          <w:rFonts w:hint="eastAsia" w:ascii="Times New Roman" w:hAnsi="Times New Roman" w:eastAsia="仿宋_GB2312"/>
          <w:b w:val="0"/>
          <w:sz w:val="21"/>
          <w:szCs w:val="21"/>
          <w:lang w:val="en-US" w:eastAsia="zh-CN"/>
        </w:rPr>
        <w:t>任务分工</w:t>
      </w:r>
      <w:r>
        <w:rPr>
          <w:rFonts w:ascii="Times New Roman" w:hAnsi="Times New Roman" w:eastAsia="仿宋_GB2312"/>
          <w:b w:val="0"/>
          <w:sz w:val="21"/>
          <w:szCs w:val="21"/>
        </w:rPr>
        <w:t>。</w:t>
      </w:r>
    </w:p>
    <w:p>
      <w:pPr>
        <w:spacing w:after="40"/>
        <w:rPr>
          <w:sz w:val="21"/>
          <w:szCs w:val="21"/>
        </w:rPr>
      </w:pPr>
      <w:r>
        <w:rPr>
          <w:rFonts w:ascii="Times New Roman" w:hAnsi="Times New Roman" w:eastAsia="仿宋_GB2312"/>
          <w:b w:val="0"/>
          <w:sz w:val="21"/>
          <w:szCs w:val="21"/>
        </w:rPr>
        <w:t>2. 责任部门牵头抓总、协同部门配合落实；涉及跨部门事项由领导小组办公室（教务处）协调。</w:t>
      </w:r>
    </w:p>
    <w:p>
      <w:pPr>
        <w:spacing w:after="40"/>
        <w:rPr>
          <w:rFonts w:hint="eastAsia" w:ascii="Times New Roman" w:hAnsi="Times New Roman" w:eastAsia="仿宋_GB2312"/>
          <w:b w:val="0"/>
          <w:sz w:val="21"/>
          <w:szCs w:val="21"/>
          <w:lang w:eastAsia="zh-CN"/>
        </w:rPr>
      </w:pPr>
      <w:r>
        <w:rPr>
          <w:rFonts w:ascii="Times New Roman" w:hAnsi="Times New Roman" w:eastAsia="仿宋_GB2312"/>
          <w:b w:val="0"/>
          <w:sz w:val="21"/>
          <w:szCs w:val="21"/>
        </w:rPr>
        <w:t xml:space="preserve">3. </w:t>
      </w:r>
      <w:r>
        <w:rPr>
          <w:rFonts w:hint="eastAsia" w:ascii="Times New Roman" w:hAnsi="Times New Roman" w:eastAsia="仿宋_GB2312"/>
          <w:b w:val="0"/>
          <w:sz w:val="21"/>
          <w:szCs w:val="21"/>
        </w:rPr>
        <w:t>时限以具体时间节点为准；跨学年常态性工作标注为</w:t>
      </w:r>
      <w:r>
        <w:rPr>
          <w:rFonts w:hint="eastAsia" w:ascii="Times New Roman" w:hAnsi="Times New Roman" w:eastAsia="仿宋_GB2312"/>
          <w:b w:val="0"/>
          <w:sz w:val="21"/>
          <w:szCs w:val="21"/>
          <w:lang w:eastAsia="zh-CN"/>
        </w:rPr>
        <w:t>“</w:t>
      </w:r>
      <w:r>
        <w:rPr>
          <w:rFonts w:hint="eastAsia" w:ascii="Times New Roman" w:hAnsi="Times New Roman" w:eastAsia="仿宋_GB2312"/>
          <w:b w:val="0"/>
          <w:sz w:val="21"/>
          <w:szCs w:val="21"/>
        </w:rPr>
        <w:t>持续</w:t>
      </w:r>
      <w:r>
        <w:rPr>
          <w:rFonts w:hint="eastAsia" w:ascii="Times New Roman" w:hAnsi="Times New Roman" w:eastAsia="仿宋_GB2312"/>
          <w:b w:val="0"/>
          <w:sz w:val="21"/>
          <w:szCs w:val="21"/>
          <w:lang w:eastAsia="zh-CN"/>
        </w:rPr>
        <w:t>”。</w:t>
      </w:r>
    </w:p>
    <w:p>
      <w:pPr>
        <w:spacing w:after="40"/>
        <w:rPr>
          <w:rFonts w:hint="default" w:ascii="Times New Roman" w:hAnsi="Times New Roman" w:eastAsia="仿宋_GB2312"/>
          <w:b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21"/>
          <w:szCs w:val="21"/>
          <w:lang w:val="en-US" w:eastAsia="zh-CN"/>
        </w:rPr>
        <w:t>4</w:t>
      </w:r>
      <w:r>
        <w:rPr>
          <w:rFonts w:ascii="Times New Roman" w:hAnsi="Times New Roman" w:eastAsia="仿宋_GB2312"/>
          <w:b w:val="0"/>
          <w:sz w:val="21"/>
          <w:szCs w:val="21"/>
        </w:rPr>
        <w:t xml:space="preserve">. </w:t>
      </w:r>
      <w:r>
        <w:rPr>
          <w:rFonts w:hint="default" w:ascii="Times New Roman" w:hAnsi="Times New Roman" w:eastAsia="仿宋_GB2312"/>
          <w:b w:val="0"/>
          <w:sz w:val="21"/>
          <w:szCs w:val="21"/>
          <w:lang w:val="en-US" w:eastAsia="zh-CN"/>
        </w:rPr>
        <w:t>实行销号管理：每完成一项，由责任部门提交成果佐证材料，经教务处核验后销号；未按期完成的，在领导小组推进会上说明原因并限期整改。</w:t>
      </w:r>
    </w:p>
    <w:p>
      <w:pPr>
        <w:spacing w:after="40"/>
        <w:rPr>
          <w:sz w:val="21"/>
          <w:szCs w:val="21"/>
        </w:rPr>
      </w:pPr>
      <w:r>
        <w:rPr>
          <w:rFonts w:hint="eastAsia" w:ascii="Times New Roman" w:hAnsi="Times New Roman" w:eastAsia="仿宋_GB2312"/>
          <w:b w:val="0"/>
          <w:sz w:val="21"/>
          <w:szCs w:val="21"/>
          <w:lang w:val="en-US" w:eastAsia="zh-CN"/>
        </w:rPr>
        <w:t>5</w:t>
      </w:r>
      <w:r>
        <w:rPr>
          <w:rFonts w:ascii="Times New Roman" w:hAnsi="Times New Roman" w:eastAsia="仿宋_GB2312"/>
          <w:b w:val="0"/>
          <w:sz w:val="21"/>
          <w:szCs w:val="21"/>
        </w:rPr>
        <w:t>. 本</w:t>
      </w:r>
      <w:r>
        <w:rPr>
          <w:rFonts w:hint="eastAsia" w:ascii="Times New Roman" w:hAnsi="Times New Roman" w:eastAsia="仿宋_GB2312"/>
          <w:b w:val="0"/>
          <w:sz w:val="21"/>
          <w:szCs w:val="21"/>
          <w:lang w:val="en-US" w:eastAsia="zh-CN"/>
        </w:rPr>
        <w:t>附件</w:t>
      </w:r>
      <w:r>
        <w:rPr>
          <w:rFonts w:ascii="Times New Roman" w:hAnsi="Times New Roman" w:eastAsia="仿宋_GB2312"/>
          <w:b w:val="0"/>
          <w:sz w:val="21"/>
          <w:szCs w:val="21"/>
        </w:rPr>
        <w:t>随改革推进动态调整，每学年末修订一次。</w:t>
      </w:r>
    </w:p>
    <w:sectPr>
      <w:footerReference r:id="rId3" w:type="default"/>
      <w:pgSz w:w="16838" w:h="11906" w:orient="landscape"/>
      <w:pgMar w:top="1020" w:right="1020" w:bottom="1020" w:left="10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eastAsia="宋体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宋体"/>
                        <w:lang w:eastAsia="zh-CN"/>
                      </w:rPr>
                      <w:t>1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44BB4"/>
    <w:rsid w:val="0029639D"/>
    <w:rsid w:val="00326F90"/>
    <w:rsid w:val="004026FA"/>
    <w:rsid w:val="00AA1D8D"/>
    <w:rsid w:val="00B47730"/>
    <w:rsid w:val="00CB0664"/>
    <w:rsid w:val="00FC693F"/>
    <w:rsid w:val="03350414"/>
    <w:rsid w:val="041F06A8"/>
    <w:rsid w:val="04E31C46"/>
    <w:rsid w:val="05077808"/>
    <w:rsid w:val="051C4DF1"/>
    <w:rsid w:val="068C6019"/>
    <w:rsid w:val="07B914FD"/>
    <w:rsid w:val="0804341D"/>
    <w:rsid w:val="08585588"/>
    <w:rsid w:val="085E659F"/>
    <w:rsid w:val="0A186AC8"/>
    <w:rsid w:val="0A925B29"/>
    <w:rsid w:val="0B233112"/>
    <w:rsid w:val="0B2D0713"/>
    <w:rsid w:val="0B917F07"/>
    <w:rsid w:val="0B9C08A8"/>
    <w:rsid w:val="0BA227B1"/>
    <w:rsid w:val="0C1A25DB"/>
    <w:rsid w:val="0CD77475"/>
    <w:rsid w:val="0D2946C3"/>
    <w:rsid w:val="0D390FEC"/>
    <w:rsid w:val="0D4656DE"/>
    <w:rsid w:val="0D81121E"/>
    <w:rsid w:val="0DCB76BC"/>
    <w:rsid w:val="0E205178"/>
    <w:rsid w:val="0E351C10"/>
    <w:rsid w:val="0EA32B5D"/>
    <w:rsid w:val="10D84830"/>
    <w:rsid w:val="115B7D42"/>
    <w:rsid w:val="12AD687E"/>
    <w:rsid w:val="12E51E76"/>
    <w:rsid w:val="138F05F4"/>
    <w:rsid w:val="14285C1C"/>
    <w:rsid w:val="148A6963"/>
    <w:rsid w:val="164B4E15"/>
    <w:rsid w:val="16945A1D"/>
    <w:rsid w:val="18680826"/>
    <w:rsid w:val="18DA348F"/>
    <w:rsid w:val="197B4858"/>
    <w:rsid w:val="19BE20FF"/>
    <w:rsid w:val="1AF647DD"/>
    <w:rsid w:val="1B001231"/>
    <w:rsid w:val="1B057C3A"/>
    <w:rsid w:val="1B4764B1"/>
    <w:rsid w:val="1B784546"/>
    <w:rsid w:val="1BAA57E5"/>
    <w:rsid w:val="1C01300F"/>
    <w:rsid w:val="1C1208ED"/>
    <w:rsid w:val="1C563FFA"/>
    <w:rsid w:val="1CE44862"/>
    <w:rsid w:val="1D016EC8"/>
    <w:rsid w:val="1E342D8E"/>
    <w:rsid w:val="1F7844CA"/>
    <w:rsid w:val="20746801"/>
    <w:rsid w:val="21203881"/>
    <w:rsid w:val="21F24FB3"/>
    <w:rsid w:val="22FE4D78"/>
    <w:rsid w:val="232C2E54"/>
    <w:rsid w:val="23901079"/>
    <w:rsid w:val="24094311"/>
    <w:rsid w:val="24420AD9"/>
    <w:rsid w:val="25626C0A"/>
    <w:rsid w:val="25660B4F"/>
    <w:rsid w:val="258E7C5F"/>
    <w:rsid w:val="25B02AD2"/>
    <w:rsid w:val="26324B42"/>
    <w:rsid w:val="26584C8B"/>
    <w:rsid w:val="28034E6E"/>
    <w:rsid w:val="289173BB"/>
    <w:rsid w:val="298347EC"/>
    <w:rsid w:val="29A61B55"/>
    <w:rsid w:val="2A0A2701"/>
    <w:rsid w:val="2A7A260F"/>
    <w:rsid w:val="2BC24214"/>
    <w:rsid w:val="2BC3790A"/>
    <w:rsid w:val="2C966028"/>
    <w:rsid w:val="2CD9264E"/>
    <w:rsid w:val="2D6F3660"/>
    <w:rsid w:val="2E205EB2"/>
    <w:rsid w:val="2E541031"/>
    <w:rsid w:val="2E9012CF"/>
    <w:rsid w:val="2FA1413D"/>
    <w:rsid w:val="319C3DC7"/>
    <w:rsid w:val="31CE5A31"/>
    <w:rsid w:val="31D10006"/>
    <w:rsid w:val="32567429"/>
    <w:rsid w:val="32D4598D"/>
    <w:rsid w:val="338D4EBE"/>
    <w:rsid w:val="34A5561B"/>
    <w:rsid w:val="34F94B83"/>
    <w:rsid w:val="35403383"/>
    <w:rsid w:val="368D61EE"/>
    <w:rsid w:val="36EE5D39"/>
    <w:rsid w:val="372E5C0F"/>
    <w:rsid w:val="38E9490A"/>
    <w:rsid w:val="39201CEE"/>
    <w:rsid w:val="3A32176C"/>
    <w:rsid w:val="3A62538E"/>
    <w:rsid w:val="3B1911DB"/>
    <w:rsid w:val="3B4D7860"/>
    <w:rsid w:val="3BA31D6F"/>
    <w:rsid w:val="3C9C79A7"/>
    <w:rsid w:val="3D4F28E4"/>
    <w:rsid w:val="3DB32D36"/>
    <w:rsid w:val="3E711B38"/>
    <w:rsid w:val="3F415FDD"/>
    <w:rsid w:val="3FF1252C"/>
    <w:rsid w:val="40D74EFA"/>
    <w:rsid w:val="412F5FE6"/>
    <w:rsid w:val="45701C5E"/>
    <w:rsid w:val="46151B8A"/>
    <w:rsid w:val="476235D3"/>
    <w:rsid w:val="482D4822"/>
    <w:rsid w:val="4A146925"/>
    <w:rsid w:val="4A741C95"/>
    <w:rsid w:val="4B357472"/>
    <w:rsid w:val="4B670890"/>
    <w:rsid w:val="4C533546"/>
    <w:rsid w:val="4C641B14"/>
    <w:rsid w:val="4CDE5920"/>
    <w:rsid w:val="4D051EDD"/>
    <w:rsid w:val="4D6A3C9D"/>
    <w:rsid w:val="4E1F3175"/>
    <w:rsid w:val="4E347BD0"/>
    <w:rsid w:val="4EFF7AC0"/>
    <w:rsid w:val="4F062ED7"/>
    <w:rsid w:val="4F103844"/>
    <w:rsid w:val="4F361B6F"/>
    <w:rsid w:val="4F5A4A8A"/>
    <w:rsid w:val="4FF47CE1"/>
    <w:rsid w:val="502C45CC"/>
    <w:rsid w:val="50B150A7"/>
    <w:rsid w:val="50F34A90"/>
    <w:rsid w:val="52222879"/>
    <w:rsid w:val="525A4111"/>
    <w:rsid w:val="533C1151"/>
    <w:rsid w:val="553B0185"/>
    <w:rsid w:val="55752380"/>
    <w:rsid w:val="55DA1937"/>
    <w:rsid w:val="564F48FE"/>
    <w:rsid w:val="56A15E88"/>
    <w:rsid w:val="56A21BAA"/>
    <w:rsid w:val="579D06A8"/>
    <w:rsid w:val="57A96F8C"/>
    <w:rsid w:val="57E54332"/>
    <w:rsid w:val="58E96A45"/>
    <w:rsid w:val="597C0AC8"/>
    <w:rsid w:val="5AB95573"/>
    <w:rsid w:val="5B0367E7"/>
    <w:rsid w:val="5B253FA9"/>
    <w:rsid w:val="5B62235B"/>
    <w:rsid w:val="5CD54D8A"/>
    <w:rsid w:val="5D4F6F41"/>
    <w:rsid w:val="5D9072C5"/>
    <w:rsid w:val="5DDA7396"/>
    <w:rsid w:val="5E7B6E2D"/>
    <w:rsid w:val="5EEE76BB"/>
    <w:rsid w:val="60176B9D"/>
    <w:rsid w:val="605673C8"/>
    <w:rsid w:val="60DA3429"/>
    <w:rsid w:val="62393897"/>
    <w:rsid w:val="63DC7D05"/>
    <w:rsid w:val="6400243F"/>
    <w:rsid w:val="640B5372"/>
    <w:rsid w:val="641A571B"/>
    <w:rsid w:val="64700202"/>
    <w:rsid w:val="655925E9"/>
    <w:rsid w:val="66E878B7"/>
    <w:rsid w:val="6736505F"/>
    <w:rsid w:val="67375FBA"/>
    <w:rsid w:val="67FB103A"/>
    <w:rsid w:val="69742ECA"/>
    <w:rsid w:val="69862E90"/>
    <w:rsid w:val="69980599"/>
    <w:rsid w:val="69A66D09"/>
    <w:rsid w:val="69D12689"/>
    <w:rsid w:val="6AAC65A1"/>
    <w:rsid w:val="6BD31CE4"/>
    <w:rsid w:val="6F5C7EFA"/>
    <w:rsid w:val="730245F0"/>
    <w:rsid w:val="734461C2"/>
    <w:rsid w:val="755F03D0"/>
    <w:rsid w:val="774C6286"/>
    <w:rsid w:val="77BB2BBD"/>
    <w:rsid w:val="786C31D0"/>
    <w:rsid w:val="791A4B62"/>
    <w:rsid w:val="792C0CBC"/>
    <w:rsid w:val="798A37E9"/>
    <w:rsid w:val="79D374E0"/>
    <w:rsid w:val="7A0B4567"/>
    <w:rsid w:val="7A300395"/>
    <w:rsid w:val="7BFE127B"/>
    <w:rsid w:val="7D7D4CD5"/>
    <w:rsid w:val="7DE36052"/>
    <w:rsid w:val="7E772ED2"/>
    <w:rsid w:val="7F48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2941</Words>
  <Characters>3113</Characters>
  <Lines>0</Lines>
  <Paragraphs>0</Paragraphs>
  <TotalTime>23</TotalTime>
  <ScaleCrop>false</ScaleCrop>
  <LinksUpToDate>false</LinksUpToDate>
  <CharactersWithSpaces>3130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文文</cp:lastModifiedBy>
  <dcterms:modified xsi:type="dcterms:W3CDTF">2026-10-25T03:39:14Z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KSOTemplateDocerSaveRecord">
    <vt:lpwstr>eyJoZGlkIjoiYmQ3OWQzNzM2M2I3MTBkOWQ1ZmU0ZmIzZjZkMzcxZDAiLCJ1c2VySWQiOiI1OTUwMzIzNTEifQ==</vt:lpwstr>
  </property>
  <property fmtid="{D5CDD505-2E9C-101B-9397-08002B2CF9AE}" pid="4" name="ICV">
    <vt:lpwstr>68336D77A4524438BC14B9ACB6BF3D77_12</vt:lpwstr>
  </property>
</Properties>
</file>