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华文行楷" w:eastAsia="华文行楷"/>
          <w:b/>
          <w:bCs/>
          <w:sz w:val="72"/>
          <w:szCs w:val="72"/>
        </w:rPr>
      </w:pPr>
      <w:r>
        <w:rPr>
          <w:rFonts w:hint="eastAsia" w:ascii="华文行楷" w:eastAsia="华文行楷"/>
          <w:b/>
          <w:bCs/>
          <w:sz w:val="72"/>
          <w:szCs w:val="72"/>
        </w:rPr>
        <w:t>南京审计大学金审学院</w:t>
      </w: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rPr>
          <w:rFonts w:ascii="黑体" w:eastAsia="黑体"/>
          <w:b/>
          <w:bCs/>
          <w:sz w:val="48"/>
          <w:szCs w:val="48"/>
        </w:rPr>
      </w:pPr>
      <w:r>
        <w:rPr>
          <w:rFonts w:hint="eastAsia" w:ascii="黑体" w:eastAsia="黑体"/>
          <w:b/>
          <w:bCs/>
          <w:sz w:val="48"/>
          <w:szCs w:val="48"/>
        </w:rPr>
        <w:t>《展示空间与视觉导视设计》教学大纲</w:t>
      </w: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eastAsia="黑体"/>
          <w:b/>
          <w:bCs/>
          <w:sz w:val="32"/>
          <w:szCs w:val="32"/>
        </w:rPr>
        <w:t>（ Exhibition space and visual guidance design）</w:t>
      </w: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spacing w:line="360" w:lineRule="auto"/>
        <w:ind w:firstLine="2700" w:firstLineChars="900"/>
        <w:rPr>
          <w:rFonts w:eastAsia="黑体"/>
          <w:sz w:val="30"/>
        </w:rPr>
      </w:pPr>
      <w:r>
        <w:rPr>
          <w:rFonts w:hint="eastAsia" w:eastAsia="黑体"/>
          <w:sz w:val="30"/>
        </w:rPr>
        <w:t>制定单位：</w:t>
      </w:r>
      <w:r>
        <w:rPr>
          <w:rFonts w:hint="eastAsia" w:ascii="宋体" w:hAnsi="宋体"/>
          <w:sz w:val="30"/>
        </w:rPr>
        <w:t>艺术设计学院</w:t>
      </w:r>
    </w:p>
    <w:p>
      <w:pPr>
        <w:adjustRightInd w:val="0"/>
        <w:snapToGrid w:val="0"/>
        <w:spacing w:line="360" w:lineRule="auto"/>
        <w:ind w:firstLine="2700" w:firstLineChars="900"/>
        <w:rPr>
          <w:rFonts w:eastAsia="黑体"/>
          <w:color w:val="000000"/>
          <w:sz w:val="30"/>
        </w:rPr>
      </w:pPr>
      <w:r>
        <w:rPr>
          <w:rFonts w:hint="eastAsia" w:eastAsia="黑体"/>
          <w:color w:val="000000"/>
          <w:sz w:val="30"/>
        </w:rPr>
        <w:t>制 定 人：唐青</w:t>
      </w:r>
    </w:p>
    <w:p>
      <w:pPr>
        <w:adjustRightInd w:val="0"/>
        <w:snapToGrid w:val="0"/>
        <w:spacing w:line="360" w:lineRule="auto"/>
        <w:ind w:firstLine="2700" w:firstLineChars="900"/>
        <w:rPr>
          <w:rFonts w:ascii="宋体" w:hAnsi="宋体"/>
          <w:color w:val="000000"/>
          <w:sz w:val="30"/>
        </w:rPr>
      </w:pPr>
      <w:r>
        <w:rPr>
          <w:rFonts w:hint="eastAsia" w:eastAsia="黑体"/>
          <w:color w:val="000000"/>
          <w:sz w:val="30"/>
        </w:rPr>
        <w:t>审 核 人：陈良梅</w:t>
      </w:r>
    </w:p>
    <w:p>
      <w:pPr>
        <w:adjustRightInd w:val="0"/>
        <w:snapToGrid w:val="0"/>
        <w:spacing w:line="360" w:lineRule="auto"/>
        <w:ind w:firstLine="2700" w:firstLineChars="900"/>
        <w:rPr>
          <w:rFonts w:ascii="黑体" w:eastAsia="黑体"/>
          <w:b/>
          <w:bCs/>
          <w:szCs w:val="21"/>
        </w:rPr>
      </w:pPr>
      <w:r>
        <w:rPr>
          <w:rFonts w:hint="eastAsia" w:eastAsia="黑体"/>
          <w:sz w:val="30"/>
        </w:rPr>
        <w:t>编写时间：</w:t>
      </w:r>
      <w:r>
        <w:rPr>
          <w:rFonts w:hint="eastAsia" w:ascii="宋体" w:hAnsi="宋体"/>
          <w:sz w:val="30"/>
        </w:rPr>
        <w:t>2018年</w:t>
      </w:r>
      <w:r>
        <w:rPr>
          <w:rFonts w:hint="eastAsia" w:ascii="宋体" w:hAnsi="宋体"/>
          <w:sz w:val="30"/>
          <w:lang w:val="en-US" w:eastAsia="zh-CN"/>
        </w:rPr>
        <w:t>12</w:t>
      </w:r>
      <w:r>
        <w:rPr>
          <w:rFonts w:hint="eastAsia" w:ascii="宋体" w:hAnsi="宋体"/>
          <w:sz w:val="30"/>
        </w:rPr>
        <w:t>月</w:t>
      </w:r>
    </w:p>
    <w:p>
      <w:pPr>
        <w:adjustRightInd w:val="0"/>
        <w:snapToGrid w:val="0"/>
        <w:spacing w:line="360" w:lineRule="auto"/>
        <w:ind w:firstLine="2700" w:firstLineChars="900"/>
        <w:rPr>
          <w:rFonts w:ascii="宋体" w:hAnsi="宋体"/>
          <w:color w:val="000000"/>
          <w:sz w:val="30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宋体" w:eastAsia="黑体"/>
          <w:b/>
          <w:sz w:val="32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宋体" w:eastAsia="黑体"/>
          <w:b/>
          <w:sz w:val="32"/>
        </w:rPr>
      </w:pPr>
      <w:r>
        <w:rPr>
          <w:rFonts w:hint="eastAsia" w:ascii="黑体" w:hAnsi="宋体" w:eastAsia="黑体"/>
          <w:b/>
          <w:sz w:val="32"/>
        </w:rPr>
        <w:t>课程说明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黑体" w:hAnsi="宋体" w:eastAsia="黑体"/>
          <w:b/>
          <w:sz w:val="28"/>
        </w:rPr>
      </w:pPr>
      <w:r>
        <w:rPr>
          <w:rFonts w:hint="eastAsia" w:ascii="黑体" w:hAnsi="宋体" w:eastAsia="黑体"/>
          <w:b/>
          <w:sz w:val="28"/>
        </w:rPr>
        <w:t>一、课程概述：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="宋体" w:hAnsi="宋体" w:eastAsia="黑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（一）</w:t>
      </w:r>
      <w:r>
        <w:rPr>
          <w:rFonts w:hint="eastAsia" w:eastAsia="黑体"/>
          <w:bCs/>
          <w:sz w:val="24"/>
        </w:rPr>
        <w:t>课</w:t>
      </w:r>
      <w:r>
        <w:rPr>
          <w:rFonts w:hint="eastAsia" w:ascii="宋体" w:hAnsi="宋体" w:eastAsia="黑体"/>
          <w:bCs/>
          <w:sz w:val="24"/>
        </w:rPr>
        <w:t>程属性及课程介绍</w:t>
      </w:r>
    </w:p>
    <w:p>
      <w:pPr>
        <w:adjustRightInd w:val="0"/>
        <w:snapToGrid w:val="0"/>
        <w:spacing w:line="360" w:lineRule="auto"/>
        <w:ind w:firstLine="525" w:firstLineChars="250"/>
        <w:rPr>
          <w:rFonts w:ascii="宋体" w:hAnsi="宋体"/>
        </w:rPr>
      </w:pPr>
      <w:r>
        <w:rPr>
          <w:rFonts w:hint="eastAsia" w:ascii="宋体" w:hAnsi="宋体"/>
        </w:rPr>
        <w:t>《展示空间与视觉导视设计》是环境设计专业（展示设计方向）学生的必修课程，属于专业基础课，以理论和实践相结合。</w:t>
      </w:r>
    </w:p>
    <w:p>
      <w:pPr>
        <w:adjustRightInd w:val="0"/>
        <w:snapToGrid w:val="0"/>
        <w:spacing w:line="360" w:lineRule="auto"/>
        <w:ind w:firstLine="525" w:firstLineChars="250"/>
        <w:rPr>
          <w:rFonts w:ascii="宋体" w:hAnsi="宋体" w:cs="宋体"/>
          <w:szCs w:val="21"/>
        </w:rPr>
      </w:pPr>
      <w:r>
        <w:rPr>
          <w:rFonts w:hint="eastAsia" w:ascii="宋体" w:hAnsi="宋体"/>
        </w:rPr>
        <w:t>本课程通过课堂讲授理论，使学生了解和掌握展示空间和视觉导视的基本关系，掌握视觉导视的基本内容，</w:t>
      </w:r>
      <w:r>
        <w:rPr>
          <w:rFonts w:hint="eastAsia" w:ascii="宋体" w:hAnsi="宋体" w:cs="宋体"/>
          <w:szCs w:val="21"/>
        </w:rPr>
        <w:t>课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程以导视系统化设计为导向，综合解决信息传递、识别、辨别和形象传递等功能的整体解决方案。需要学生具有一定的平面设计的能力。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="宋体" w:hAnsi="宋体"/>
        </w:rPr>
      </w:pPr>
      <w:r>
        <w:rPr>
          <w:rFonts w:hint="eastAsia" w:ascii="宋体" w:hAnsi="宋体" w:eastAsia="黑体"/>
          <w:sz w:val="24"/>
        </w:rPr>
        <w:t>（二）教学目标</w:t>
      </w:r>
    </w:p>
    <w:p>
      <w:pPr>
        <w:spacing w:line="360" w:lineRule="auto"/>
        <w:ind w:firstLine="315" w:firstLineChars="150"/>
        <w:rPr>
          <w:rFonts w:ascii="宋体" w:hAnsi="宋体"/>
          <w:caps/>
        </w:rPr>
      </w:pPr>
      <w:r>
        <w:rPr>
          <w:rFonts w:hint="eastAsia" w:ascii="宋体"/>
          <w:color w:val="000000"/>
          <w:kern w:val="21"/>
          <w:szCs w:val="20"/>
        </w:rPr>
        <w:t xml:space="preserve"> </w:t>
      </w:r>
      <w:r>
        <w:rPr>
          <w:rFonts w:hint="eastAsia" w:ascii="宋体" w:hAnsi="宋体"/>
          <w:caps/>
        </w:rPr>
        <w:t>通过本课程教学，学生应达到下列学习目标：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  <w:t>1、 通过理论的讲授，使学生了解导向系统设计的基本原理、设计程序、系统分析方法。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  <w:t>2、 通过实地考察使学生熟悉不同工艺材料构造和空间形式特征。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  <w:t>3、 通过学生分组提案及后期制作，使学生学会团队协作和沟通交流的能力，从项目规划、方案设计甚至包括印刷、色彩、地图制作、空间形式、材料选择、媒体发展等诸多方面进行系统的深入实践。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（三）适用对象</w:t>
      </w:r>
    </w:p>
    <w:p>
      <w:pPr>
        <w:adjustRightInd w:val="0"/>
        <w:snapToGrid w:val="0"/>
        <w:spacing w:line="360" w:lineRule="auto"/>
        <w:ind w:firstLine="525" w:firstLineChars="250"/>
        <w:rPr>
          <w:rFonts w:ascii="宋体" w:hAnsi="宋体"/>
        </w:rPr>
      </w:pPr>
      <w:r>
        <w:rPr>
          <w:rFonts w:hint="eastAsia" w:ascii="宋体" w:hAnsi="宋体"/>
        </w:rPr>
        <w:t>本课程适用于环境设计专业（展示设计方向）本科生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（四）先修课程与后续课程</w:t>
      </w:r>
    </w:p>
    <w:p>
      <w:pPr>
        <w:adjustRightInd w:val="0"/>
        <w:snapToGrid w:val="0"/>
        <w:spacing w:line="360" w:lineRule="auto"/>
        <w:ind w:firstLine="525" w:firstLineChars="250"/>
        <w:rPr>
          <w:rFonts w:ascii="宋体" w:hAnsi="宋体"/>
        </w:rPr>
      </w:pPr>
      <w:r>
        <w:rPr>
          <w:rFonts w:hint="eastAsia" w:ascii="宋体" w:hAnsi="宋体"/>
        </w:rPr>
        <w:t>先修课程：展示设计方法与表达、视觉设计基础、交互界面设计调研</w:t>
      </w:r>
    </w:p>
    <w:p>
      <w:pPr>
        <w:adjustRightInd w:val="0"/>
        <w:snapToGrid w:val="0"/>
        <w:spacing w:line="360" w:lineRule="auto"/>
        <w:ind w:firstLine="525" w:firstLineChars="250"/>
        <w:rPr>
          <w:rFonts w:ascii="宋体" w:hAnsi="宋体"/>
        </w:rPr>
      </w:pPr>
      <w:r>
        <w:rPr>
          <w:rFonts w:hint="eastAsia" w:ascii="宋体" w:hAnsi="宋体"/>
        </w:rPr>
        <w:t>后续课程：展示类型空间设计</w:t>
      </w:r>
    </w:p>
    <w:p>
      <w:pPr>
        <w:adjustRightInd w:val="0"/>
        <w:snapToGrid w:val="0"/>
        <w:spacing w:line="360" w:lineRule="auto"/>
        <w:ind w:firstLine="275" w:firstLineChars="98"/>
        <w:rPr>
          <w:rFonts w:ascii="宋体" w:hAnsi="宋体" w:eastAsia="黑体"/>
          <w:b/>
          <w:bCs/>
          <w:sz w:val="28"/>
        </w:rPr>
      </w:pPr>
      <w:r>
        <w:rPr>
          <w:rFonts w:hint="eastAsia" w:ascii="宋体" w:hAnsi="宋体" w:eastAsia="黑体"/>
          <w:b/>
          <w:bCs/>
          <w:sz w:val="28"/>
        </w:rPr>
        <w:t>二、任课教师教学过程中应注意的事项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1、课前通知学生提前准备好教材教具、学习使用材料和工具等事项。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2、遵守学校相关的各项教学规章和制度。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3、教学过程中注重前瞻性设计和自主设计能力的培养，教师注重引导，但要给学生自主判断的空间，杜绝抄袭和模仿等不良学习习惯。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4、教师要严格执行课程考核制度，做到公平公正，保证考核质量，对不符合教学要求的学生不能给予及格成绩。</w:t>
      </w:r>
    </w:p>
    <w:p>
      <w:pPr>
        <w:adjustRightInd w:val="0"/>
        <w:snapToGrid w:val="0"/>
        <w:spacing w:line="360" w:lineRule="auto"/>
        <w:ind w:firstLine="275" w:firstLineChars="98"/>
        <w:rPr>
          <w:rFonts w:ascii="黑体" w:hAnsi="宋体" w:eastAsia="黑体"/>
          <w:b/>
          <w:bCs/>
          <w:sz w:val="28"/>
        </w:rPr>
      </w:pPr>
      <w:r>
        <w:rPr>
          <w:rFonts w:hint="eastAsia" w:ascii="黑体" w:hAnsi="宋体" w:eastAsia="黑体"/>
          <w:b/>
          <w:bCs/>
          <w:sz w:val="28"/>
        </w:rPr>
        <w:t>三、学时要求与分配：</w:t>
      </w:r>
    </w:p>
    <w:p>
      <w:pPr>
        <w:adjustRightInd w:val="0"/>
        <w:snapToGrid w:val="0"/>
        <w:spacing w:line="360" w:lineRule="auto"/>
        <w:ind w:left="483" w:leftChars="230"/>
        <w:rPr>
          <w:rFonts w:ascii="宋体" w:hAnsi="宋体" w:eastAsia="黑体"/>
          <w:sz w:val="24"/>
        </w:rPr>
      </w:pPr>
      <w:r>
        <w:rPr>
          <w:rFonts w:hint="eastAsia" w:ascii="黑体" w:hAnsi="宋体" w:eastAsia="黑体"/>
          <w:bCs/>
          <w:sz w:val="24"/>
        </w:rPr>
        <w:t>（一）</w:t>
      </w:r>
      <w:r>
        <w:rPr>
          <w:rFonts w:hint="eastAsia" w:ascii="宋体" w:hAnsi="宋体" w:eastAsia="黑体"/>
          <w:sz w:val="24"/>
        </w:rPr>
        <w:t>总学时要求</w:t>
      </w:r>
    </w:p>
    <w:p>
      <w:pPr>
        <w:adjustRightInd w:val="0"/>
        <w:snapToGrid w:val="0"/>
        <w:spacing w:line="360" w:lineRule="auto"/>
        <w:ind w:firstLine="1050" w:firstLineChars="500"/>
        <w:rPr>
          <w:rFonts w:ascii="宋体" w:hAnsi="宋体"/>
        </w:rPr>
      </w:pPr>
      <w:r>
        <w:rPr>
          <w:rFonts w:hint="eastAsia" w:ascii="宋体" w:hAnsi="宋体"/>
        </w:rPr>
        <w:t>本课程总学时计64学时。</w:t>
      </w:r>
    </w:p>
    <w:p>
      <w:pPr>
        <w:adjustRightInd w:val="0"/>
        <w:snapToGrid w:val="0"/>
        <w:spacing w:line="360" w:lineRule="auto"/>
        <w:ind w:left="482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（二）学时分配</w:t>
      </w:r>
    </w:p>
    <w:tbl>
      <w:tblPr>
        <w:tblStyle w:val="6"/>
        <w:tblW w:w="85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991"/>
        <w:gridCol w:w="4229"/>
        <w:gridCol w:w="768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28" w:type="dxa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周别</w:t>
            </w:r>
          </w:p>
        </w:tc>
        <w:tc>
          <w:tcPr>
            <w:tcW w:w="991" w:type="dxa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授课次数</w:t>
            </w:r>
          </w:p>
        </w:tc>
        <w:tc>
          <w:tcPr>
            <w:tcW w:w="4229" w:type="dxa"/>
            <w:vAlign w:val="center"/>
          </w:tcPr>
          <w:p>
            <w:pPr>
              <w:ind w:firstLine="548"/>
              <w:rPr>
                <w:b/>
              </w:rPr>
            </w:pPr>
            <w:r>
              <w:rPr>
                <w:rFonts w:hint="eastAsia"/>
                <w:b/>
              </w:rPr>
              <w:t xml:space="preserve">    授课章节与内容摘要</w:t>
            </w:r>
          </w:p>
        </w:tc>
        <w:tc>
          <w:tcPr>
            <w:tcW w:w="768" w:type="dxa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教学 时 数</w:t>
            </w:r>
          </w:p>
        </w:tc>
        <w:tc>
          <w:tcPr>
            <w:tcW w:w="1704" w:type="dxa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    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991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4229" w:type="dxa"/>
            <w:vAlign w:val="center"/>
          </w:tcPr>
          <w:p>
            <w:pPr>
              <w:spacing w:before="156" w:beforeLines="50" w:after="156" w:afterLines="5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导视标识概论</w:t>
            </w: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思考：1.何为导视？2.导视的有哪些功能性？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422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导视的历史发展</w:t>
            </w: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思考：1.影响导视在不同时期的发展的因素是什么2.导视给人们生活带来了哪些意义？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422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导视与人、环境的关系</w:t>
            </w: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思考：1.视觉导视有哪些重要的构成要素2.导视中字体、色彩、版式之间的关系是什么？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422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导视设计基础1</w:t>
            </w: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思考：1.视觉导视有哪些重要的构成要素2.导视中字体、色彩、版式之间的关系是什么？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422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导视设计基础2</w:t>
            </w: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思考：1.视觉导视有哪些重要的构成要素2.导视中字体、色彩、版式之间的关系是什么？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422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导视设计基础3</w:t>
            </w: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思考：1.视觉导视的设计方法有哪几种？视觉导视设计原则是什么？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4229" w:type="dxa"/>
            <w:vAlign w:val="center"/>
          </w:tcPr>
          <w:p>
            <w:pPr>
              <w:ind w:firstLine="435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视觉导视的材料和工艺1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思考：1.视觉导视的设计方法有哪几种？视觉导视设计原则是什么？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4229" w:type="dxa"/>
            <w:vAlign w:val="center"/>
          </w:tcPr>
          <w:p>
            <w:pPr>
              <w:ind w:firstLine="435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视觉导视的材料和工艺2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思考：1.视觉导视的设计方法有哪几种？视觉导视设计原则是什么？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422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导视系统规划设计1</w:t>
            </w: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704" w:type="dxa"/>
            <w:vAlign w:val="center"/>
          </w:tcPr>
          <w:tbl>
            <w:tblPr>
              <w:tblStyle w:val="6"/>
              <w:tblW w:w="1704" w:type="dxa"/>
              <w:jc w:val="center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0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25" w:hRule="atLeast"/>
                <w:jc w:val="center"/>
              </w:trPr>
              <w:tc>
                <w:tcPr>
                  <w:tcW w:w="1704" w:type="dxa"/>
                  <w:vAlign w:val="center"/>
                </w:tcPr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思考：1.常见的视觉导视材料有哪些？2.常见的视觉导视制作工艺有哪些？</w:t>
                  </w:r>
                </w:p>
              </w:tc>
            </w:tr>
          </w:tbl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422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导视系统规划设计2</w:t>
            </w: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704" w:type="dxa"/>
            <w:vAlign w:val="center"/>
          </w:tcPr>
          <w:tbl>
            <w:tblPr>
              <w:tblStyle w:val="6"/>
              <w:tblW w:w="1704" w:type="dxa"/>
              <w:jc w:val="center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0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25" w:hRule="atLeast"/>
                <w:jc w:val="center"/>
              </w:trPr>
              <w:tc>
                <w:tcPr>
                  <w:tcW w:w="1704" w:type="dxa"/>
                  <w:vAlign w:val="center"/>
                </w:tcPr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思考：1.常见的视觉导视材料有哪些？2.常见的视觉导视制作工艺有哪些？</w:t>
                  </w:r>
                </w:p>
              </w:tc>
            </w:tr>
          </w:tbl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422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导视造型设计1</w:t>
            </w: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704" w:type="dxa"/>
            <w:vAlign w:val="center"/>
          </w:tcPr>
          <w:tbl>
            <w:tblPr>
              <w:tblStyle w:val="6"/>
              <w:tblW w:w="1704" w:type="dxa"/>
              <w:jc w:val="center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0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25" w:hRule="atLeast"/>
                <w:jc w:val="center"/>
              </w:trPr>
              <w:tc>
                <w:tcPr>
                  <w:tcW w:w="1704" w:type="dxa"/>
                  <w:vAlign w:val="center"/>
                </w:tcPr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思考：1.现场调研需要注意哪些？2.如何进行路径的预设和标识点位的布置？</w:t>
                  </w:r>
                </w:p>
              </w:tc>
            </w:tr>
          </w:tbl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422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公共交通枢纽的导视系统设计</w:t>
            </w: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704" w:type="dxa"/>
            <w:vAlign w:val="center"/>
          </w:tcPr>
          <w:tbl>
            <w:tblPr>
              <w:tblStyle w:val="6"/>
              <w:tblW w:w="1704" w:type="dxa"/>
              <w:jc w:val="center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0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25" w:hRule="atLeast"/>
                <w:jc w:val="center"/>
              </w:trPr>
              <w:tc>
                <w:tcPr>
                  <w:tcW w:w="1704" w:type="dxa"/>
                  <w:vAlign w:val="center"/>
                </w:tcPr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思考：1.现场调研需要注意哪些？2.如何进行路径的预设和标识点位的布置？</w:t>
                  </w:r>
                </w:p>
              </w:tc>
            </w:tr>
          </w:tbl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</w:rPr>
              <w:t>13</w:t>
            </w:r>
          </w:p>
        </w:tc>
        <w:tc>
          <w:tcPr>
            <w:tcW w:w="422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公共交通建筑的导视系统设计</w:t>
            </w: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704" w:type="dxa"/>
            <w:vAlign w:val="center"/>
          </w:tcPr>
          <w:tbl>
            <w:tblPr>
              <w:tblStyle w:val="6"/>
              <w:tblW w:w="1704" w:type="dxa"/>
              <w:jc w:val="center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0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25" w:hRule="atLeast"/>
                <w:jc w:val="center"/>
              </w:trPr>
              <w:tc>
                <w:tcPr>
                  <w:tcW w:w="1704" w:type="dxa"/>
                  <w:vAlign w:val="center"/>
                </w:tcPr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思考：1.现场调研需要注意哪些？2.如何进行路径的预设和标识点位的布置？</w:t>
                  </w:r>
                </w:p>
              </w:tc>
            </w:tr>
          </w:tbl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</w:rPr>
              <w:t>14</w:t>
            </w:r>
          </w:p>
        </w:tc>
        <w:tc>
          <w:tcPr>
            <w:tcW w:w="422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无障碍标识系统设计</w:t>
            </w: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</w:rPr>
              <w:t>15</w:t>
            </w:r>
          </w:p>
        </w:tc>
        <w:tc>
          <w:tcPr>
            <w:tcW w:w="422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商业店招设计</w:t>
            </w: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</w:rPr>
              <w:t>16</w:t>
            </w:r>
          </w:p>
        </w:tc>
        <w:tc>
          <w:tcPr>
            <w:tcW w:w="422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项目实训</w:t>
            </w: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</w:tbl>
    <w:p>
      <w:pPr>
        <w:adjustRightInd w:val="0"/>
        <w:snapToGrid w:val="0"/>
        <w:spacing w:line="360" w:lineRule="auto"/>
        <w:ind w:firstLine="275" w:firstLineChars="98"/>
        <w:rPr>
          <w:rFonts w:eastAsia="黑体"/>
          <w:b/>
          <w:bCs/>
          <w:sz w:val="28"/>
        </w:rPr>
      </w:pPr>
      <w:r>
        <w:rPr>
          <w:rFonts w:hint="eastAsia" w:ascii="宋体" w:hAnsi="宋体" w:eastAsia="黑体"/>
          <w:b/>
          <w:bCs/>
          <w:sz w:val="28"/>
        </w:rPr>
        <w:t>四、</w:t>
      </w:r>
      <w:r>
        <w:rPr>
          <w:rFonts w:hint="eastAsia" w:eastAsia="黑体"/>
          <w:b/>
          <w:bCs/>
          <w:sz w:val="28"/>
        </w:rPr>
        <w:t>实践教学内容与要求</w:t>
      </w:r>
    </w:p>
    <w:p>
      <w:pPr>
        <w:ind w:firstLine="420" w:firstLineChars="200"/>
      </w:pPr>
      <w:r>
        <w:rPr>
          <w:rFonts w:hint="eastAsia"/>
        </w:rPr>
        <w:t>（一）课堂实践案例解析</w:t>
      </w:r>
    </w:p>
    <w:p>
      <w:pPr>
        <w:ind w:firstLine="420" w:firstLineChars="200"/>
        <w:jc w:val="left"/>
      </w:pPr>
      <w:r>
        <w:rPr>
          <w:rFonts w:hint="eastAsia"/>
        </w:rPr>
        <w:t>紧密联系实际，具体分析案例、解决实际问题的能力。把课堂学习与学科理论的学习融入对室内设计的研究和认识之中，切实提高分析问题、解决问题的能力。</w:t>
      </w:r>
    </w:p>
    <w:p>
      <w:pPr>
        <w:ind w:firstLine="315" w:firstLineChars="150"/>
      </w:pPr>
      <w:r>
        <w:rPr>
          <w:rFonts w:hint="eastAsia"/>
        </w:rPr>
        <w:t>（二）课外实践训练</w:t>
      </w:r>
    </w:p>
    <w:p>
      <w:pPr>
        <w:ind w:firstLine="420" w:firstLineChars="200"/>
        <w:jc w:val="left"/>
      </w:pPr>
      <w:r>
        <w:rPr>
          <w:rFonts w:hint="eastAsia"/>
        </w:rPr>
        <w:t>正确运用互联网学习更多的课外实践知识；去大型商场或者公共环境空间中进行实地调研。</w:t>
      </w:r>
    </w:p>
    <w:p>
      <w:pPr>
        <w:adjustRightInd w:val="0"/>
        <w:snapToGrid w:val="0"/>
        <w:spacing w:before="156" w:beforeLines="50" w:after="156" w:afterLines="50"/>
        <w:ind w:firstLine="562" w:firstLineChars="200"/>
        <w:rPr>
          <w:rFonts w:ascii="宋体" w:hAnsi="宋体" w:eastAsia="黑体"/>
          <w:b/>
          <w:bCs/>
          <w:sz w:val="28"/>
        </w:rPr>
      </w:pPr>
      <w:r>
        <w:rPr>
          <w:rFonts w:hint="eastAsia" w:ascii="宋体" w:hAnsi="宋体" w:eastAsia="黑体"/>
          <w:b/>
          <w:bCs/>
          <w:sz w:val="28"/>
        </w:rPr>
        <w:t>五、教学</w:t>
      </w:r>
      <w:r>
        <w:rPr>
          <w:rFonts w:ascii="宋体" w:hAnsi="宋体" w:eastAsia="黑体"/>
          <w:b/>
          <w:bCs/>
          <w:sz w:val="28"/>
        </w:rPr>
        <w:t>参考</w:t>
      </w:r>
      <w:r>
        <w:rPr>
          <w:rFonts w:hint="eastAsia" w:ascii="宋体" w:hAnsi="宋体" w:eastAsia="黑体"/>
          <w:b/>
          <w:bCs/>
          <w:sz w:val="28"/>
        </w:rPr>
        <w:t>资料</w:t>
      </w:r>
    </w:p>
    <w:p>
      <w:pPr>
        <w:spacing w:line="360" w:lineRule="auto"/>
        <w:ind w:firstLine="422" w:firstLineChars="20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1、教  材： </w:t>
      </w:r>
    </w:p>
    <w:p>
      <w:pPr>
        <w:spacing w:line="360" w:lineRule="auto"/>
        <w:ind w:firstLine="422" w:firstLineChars="201"/>
        <w:rPr>
          <w:rFonts w:ascii="宋体" w:hAnsi="宋体"/>
          <w:szCs w:val="21"/>
        </w:rPr>
      </w:pPr>
      <w:r>
        <w:rPr>
          <w:rFonts w:hint="eastAsia"/>
        </w:rPr>
        <w:t>《导视系统设计》 ，周婷、徐曦，西南师范大学出版社，2015年</w:t>
      </w:r>
    </w:p>
    <w:p>
      <w:pPr>
        <w:spacing w:line="360" w:lineRule="auto"/>
        <w:ind w:firstLine="422" w:firstLineChars="20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2、参考书：（写明作者、出版社、出版时间、何处购买等）</w:t>
      </w:r>
    </w:p>
    <w:p>
      <w:pPr>
        <w:spacing w:line="360" w:lineRule="auto"/>
        <w:ind w:firstLine="422" w:firstLineChars="20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[1] 何玉莲、章宏泽编著，《导向标识系统设计》（M），中国电力出版社，2016</w:t>
      </w:r>
    </w:p>
    <w:p>
      <w:pPr>
        <w:spacing w:line="360" w:lineRule="auto"/>
        <w:ind w:firstLine="422" w:firstLineChars="20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[2] 史墨、倪春洪主编，《标志与导视系统设计》（M），辽宁科技技术出版社，2015</w:t>
      </w:r>
    </w:p>
    <w:p>
      <w:pPr>
        <w:spacing w:line="360" w:lineRule="auto"/>
        <w:ind w:firstLine="422" w:firstLineChars="20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[3] 王坤茜主编，《产品符号语意》（M），湖南大学出版社，2014</w:t>
      </w:r>
    </w:p>
    <w:p>
      <w:pPr>
        <w:spacing w:line="360" w:lineRule="auto"/>
        <w:ind w:left="840" w:leftChars="200" w:hanging="420" w:hanging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[4] 肖勇编著 《看！导视系统设计》（M），电子工业出版社，2013</w:t>
      </w:r>
    </w:p>
    <w:p>
      <w:pPr>
        <w:spacing w:line="360" w:lineRule="auto"/>
        <w:ind w:firstLine="422" w:firstLineChars="20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[5] Craig M.Berger（美）著，《导向标识：图形导航系统的设计与实施》（M），电子工业出版社，2013</w:t>
      </w:r>
    </w:p>
    <w:p>
      <w:pPr>
        <w:spacing w:line="360" w:lineRule="auto"/>
        <w:ind w:firstLine="422" w:firstLineChars="20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[6] 刘新祥、李中扬、毛舒，《视觉导视设计与材料工艺》（M），化学工业出版社，2017</w:t>
      </w:r>
    </w:p>
    <w:p>
      <w:pPr>
        <w:spacing w:line="360" w:lineRule="auto"/>
        <w:ind w:firstLine="422" w:firstLineChars="20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[7] 戴小乐、柳建华、任晓军、张莉、谢代邑，《导向设计》（M），中国水利水电出版社，2013</w:t>
      </w:r>
    </w:p>
    <w:p>
      <w:pPr>
        <w:spacing w:line="360" w:lineRule="auto"/>
        <w:ind w:firstLine="565" w:firstLineChars="201"/>
        <w:rPr>
          <w:rFonts w:ascii="宋体" w:hAnsi="宋体" w:eastAsia="黑体"/>
          <w:b/>
          <w:bCs/>
          <w:sz w:val="28"/>
        </w:rPr>
      </w:pPr>
      <w:r>
        <w:rPr>
          <w:rFonts w:hint="eastAsia" w:ascii="黑体" w:hAnsi="宋体" w:eastAsia="黑体"/>
          <w:b/>
          <w:bCs/>
          <w:sz w:val="28"/>
        </w:rPr>
        <w:t>六、</w:t>
      </w:r>
      <w:r>
        <w:rPr>
          <w:rFonts w:hint="eastAsia" w:ascii="宋体" w:hAnsi="宋体" w:eastAsia="黑体"/>
          <w:b/>
          <w:bCs/>
          <w:sz w:val="28"/>
        </w:rPr>
        <w:t>课程的考核要求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  <w:szCs w:val="21"/>
        </w:rPr>
        <w:t>最终考核成绩可通过课堂提问、平时测验、学生作业40％、课堂教学实训及考核情况综合评价学生成绩25％，考查成绩占35％综合形成，作业迟交一次，综合成绩减10分，对在学习和应用上有创新的学生应特别给予鼓励。</w:t>
      </w:r>
      <w:r>
        <w:rPr>
          <w:rFonts w:hint="eastAsia" w:ascii="宋体" w:hAnsi="宋体"/>
        </w:rPr>
        <w:t>期末考试采取设计作业的形式进行考核。</w:t>
      </w:r>
    </w:p>
    <w:p>
      <w:pPr>
        <w:adjustRightInd w:val="0"/>
        <w:snapToGrid w:val="0"/>
        <w:spacing w:line="360" w:lineRule="auto"/>
        <w:jc w:val="center"/>
        <w:rPr>
          <w:rFonts w:ascii="黑体" w:hAnsi="宋体" w:eastAsia="黑体"/>
          <w:b/>
          <w:sz w:val="32"/>
        </w:rPr>
      </w:pPr>
      <w:r>
        <w:rPr>
          <w:rFonts w:hint="eastAsia" w:ascii="黑体" w:hAnsi="宋体" w:eastAsia="黑体"/>
          <w:b/>
          <w:sz w:val="32"/>
        </w:rPr>
        <w:t>教学要求及教学要点</w:t>
      </w:r>
    </w:p>
    <w:p>
      <w:pPr>
        <w:jc w:val="center"/>
        <w:rPr>
          <w:rFonts w:eastAsia="黑体"/>
          <w:b/>
          <w:bCs/>
          <w:sz w:val="30"/>
        </w:rPr>
      </w:pPr>
      <w:r>
        <w:rPr>
          <w:rFonts w:hint="eastAsia" w:eastAsia="黑体"/>
          <w:b/>
          <w:bCs/>
          <w:sz w:val="30"/>
        </w:rPr>
        <w:t>第一章  导视标识概论</w:t>
      </w:r>
    </w:p>
    <w:p>
      <w:pPr>
        <w:jc w:val="center"/>
        <w:rPr>
          <w:rFonts w:eastAsia="黑体"/>
          <w:sz w:val="28"/>
        </w:rPr>
      </w:pPr>
      <w:r>
        <w:rPr>
          <w:rFonts w:hint="eastAsia" w:eastAsia="黑体"/>
          <w:sz w:val="28"/>
        </w:rPr>
        <w:t>第一节  标识的定义</w:t>
      </w:r>
    </w:p>
    <w:p>
      <w:pPr>
        <w:ind w:firstLine="420" w:firstLineChars="200"/>
      </w:pPr>
      <w:r>
        <w:rPr>
          <w:rFonts w:hint="eastAsia"/>
        </w:rPr>
        <w:t>课程重点：</w:t>
      </w:r>
    </w:p>
    <w:p>
      <w:pPr>
        <w:ind w:left="435" w:leftChars="207" w:firstLine="210" w:firstLineChars="100"/>
      </w:pPr>
      <w:r>
        <w:rPr>
          <w:rFonts w:hint="eastAsia"/>
        </w:rPr>
        <w:t xml:space="preserve">  1、标识、标志、图标三者之间的关系</w:t>
      </w:r>
    </w:p>
    <w:p>
      <w:r>
        <w:rPr>
          <w:rFonts w:hint="eastAsia"/>
        </w:rPr>
        <w:t xml:space="preserve">        2、标识、标识系统、导视三者的关系</w:t>
      </w:r>
    </w:p>
    <w:p/>
    <w:p>
      <w:pPr>
        <w:jc w:val="center"/>
        <w:rPr>
          <w:rFonts w:eastAsia="黑体"/>
          <w:sz w:val="28"/>
        </w:rPr>
      </w:pPr>
      <w:r>
        <w:rPr>
          <w:rFonts w:hint="eastAsia" w:eastAsia="黑体"/>
          <w:sz w:val="28"/>
        </w:rPr>
        <w:t>第二节  导视的概念</w:t>
      </w:r>
    </w:p>
    <w:p>
      <w:pPr>
        <w:ind w:firstLine="630" w:firstLineChars="300"/>
      </w:pPr>
      <w:r>
        <w:rPr>
          <w:rFonts w:hint="eastAsia"/>
        </w:rPr>
        <w:t>课程重点：</w:t>
      </w:r>
    </w:p>
    <w:p>
      <w:r>
        <w:rPr>
          <w:rFonts w:hint="eastAsia"/>
        </w:rPr>
        <w:t xml:space="preserve">          1、导视的定义     </w:t>
      </w:r>
    </w:p>
    <w:p>
      <w:pPr>
        <w:ind w:firstLine="1050" w:firstLineChars="500"/>
      </w:pPr>
      <w:r>
        <w:rPr>
          <w:rFonts w:hint="eastAsia"/>
        </w:rPr>
        <w:t>2、导视的作用</w:t>
      </w:r>
    </w:p>
    <w:p>
      <w:pPr>
        <w:ind w:firstLine="1050" w:firstLineChars="500"/>
      </w:pPr>
      <w:r>
        <w:rPr>
          <w:rFonts w:hint="eastAsia"/>
        </w:rPr>
        <w:t>3、导视的分类</w:t>
      </w:r>
    </w:p>
    <w:p>
      <w:pPr>
        <w:ind w:firstLine="1050" w:firstLineChars="500"/>
      </w:pPr>
      <w:r>
        <w:rPr>
          <w:rFonts w:hint="eastAsia"/>
        </w:rPr>
        <w:t>4、导视与设计</w:t>
      </w:r>
    </w:p>
    <w:p>
      <w:pPr>
        <w:ind w:firstLine="1050" w:firstLineChars="500"/>
      </w:pPr>
      <w:r>
        <w:rPr>
          <w:rFonts w:hint="eastAsia"/>
        </w:rPr>
        <w:t>5、导视的特性</w:t>
      </w:r>
    </w:p>
    <w:p>
      <w:pPr>
        <w:ind w:left="1890" w:hanging="1890" w:hangingChars="900"/>
      </w:pPr>
      <w:r>
        <w:rPr>
          <w:rFonts w:hint="eastAsia"/>
        </w:rPr>
        <w:t xml:space="preserve">              </w:t>
      </w:r>
    </w:p>
    <w:p/>
    <w:p>
      <w:pPr>
        <w:rPr>
          <w:rFonts w:ascii="黑体" w:eastAsia="黑体"/>
          <w:sz w:val="28"/>
        </w:rPr>
      </w:pPr>
    </w:p>
    <w:p>
      <w:pPr>
        <w:jc w:val="center"/>
        <w:rPr>
          <w:rFonts w:ascii="黑体" w:eastAsia="黑体"/>
          <w:b/>
          <w:bCs/>
          <w:sz w:val="32"/>
        </w:rPr>
      </w:pPr>
      <w:r>
        <w:rPr>
          <w:rFonts w:hint="eastAsia" w:ascii="黑体" w:eastAsia="黑体"/>
          <w:b/>
          <w:bCs/>
          <w:sz w:val="32"/>
        </w:rPr>
        <w:t>第二章  导视的历史发展</w:t>
      </w:r>
    </w:p>
    <w:p>
      <w:pPr>
        <w:numPr>
          <w:ilvl w:val="0"/>
          <w:numId w:val="1"/>
        </w:numPr>
        <w:jc w:val="left"/>
        <w:rPr>
          <w:rFonts w:hint="eastAsia" w:ascii="黑体" w:eastAsia="黑体"/>
          <w:sz w:val="21"/>
          <w:szCs w:val="21"/>
        </w:rPr>
      </w:pPr>
      <w:r>
        <w:rPr>
          <w:rFonts w:hint="eastAsia" w:ascii="黑体" w:eastAsia="黑体"/>
          <w:sz w:val="21"/>
          <w:szCs w:val="21"/>
        </w:rPr>
        <w:t>导视的起源</w:t>
      </w:r>
    </w:p>
    <w:p>
      <w:pPr>
        <w:numPr>
          <w:ilvl w:val="0"/>
          <w:numId w:val="1"/>
        </w:numPr>
        <w:jc w:val="left"/>
        <w:rPr>
          <w:rFonts w:ascii="黑体" w:eastAsia="黑体"/>
          <w:sz w:val="21"/>
          <w:szCs w:val="21"/>
        </w:rPr>
      </w:pPr>
      <w:r>
        <w:rPr>
          <w:rFonts w:hint="eastAsia" w:ascii="黑体" w:eastAsia="黑体"/>
          <w:sz w:val="21"/>
          <w:szCs w:val="21"/>
        </w:rPr>
        <w:t>导视的历史发展</w:t>
      </w:r>
    </w:p>
    <w:p>
      <w:pPr>
        <w:jc w:val="left"/>
        <w:rPr>
          <w:rFonts w:ascii="黑体" w:eastAsia="黑体"/>
          <w:sz w:val="28"/>
        </w:rPr>
      </w:pPr>
      <w:r>
        <w:rPr>
          <w:rFonts w:hint="eastAsia" w:ascii="黑体" w:eastAsia="黑体"/>
          <w:sz w:val="28"/>
        </w:rPr>
        <w:t xml:space="preserve"> </w:t>
      </w:r>
      <w:r>
        <w:rPr>
          <w:rFonts w:hint="eastAsia" w:ascii="黑体" w:eastAsia="黑体"/>
          <w:sz w:val="21"/>
          <w:szCs w:val="21"/>
        </w:rPr>
        <w:t xml:space="preserve">  </w:t>
      </w:r>
      <w:r>
        <w:rPr>
          <w:rFonts w:hint="eastAsia" w:ascii="黑体" w:eastAsia="黑体"/>
          <w:sz w:val="21"/>
          <w:szCs w:val="21"/>
          <w:lang w:val="en-US" w:eastAsia="zh-CN"/>
        </w:rPr>
        <w:t xml:space="preserve"> </w:t>
      </w:r>
      <w:r>
        <w:rPr>
          <w:rFonts w:hint="eastAsia" w:ascii="黑体" w:eastAsia="黑体"/>
          <w:sz w:val="21"/>
          <w:szCs w:val="21"/>
        </w:rPr>
        <w:t>第三节  导视的发展趋势</w:t>
      </w:r>
    </w:p>
    <w:p>
      <w:pPr>
        <w:rPr>
          <w:rFonts w:ascii="宋体" w:hAnsi="宋体"/>
        </w:rPr>
      </w:pPr>
    </w:p>
    <w:p>
      <w:pPr>
        <w:jc w:val="center"/>
        <w:rPr>
          <w:rFonts w:ascii="黑体" w:eastAsia="黑体"/>
          <w:sz w:val="28"/>
        </w:rPr>
      </w:pPr>
      <w:r>
        <w:rPr>
          <w:rFonts w:hint="eastAsia" w:ascii="黑体" w:eastAsia="黑体"/>
          <w:b/>
          <w:bCs/>
          <w:sz w:val="30"/>
          <w:szCs w:val="30"/>
        </w:rPr>
        <w:t>第三章  导视与人、环境的关系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>课程重点：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 xml:space="preserve">    1、人体尺度概念：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 xml:space="preserve">    2、步行状态下的视觉感知：</w:t>
      </w:r>
    </w:p>
    <w:p>
      <w:pPr>
        <w:ind w:firstLine="420"/>
        <w:rPr>
          <w:rFonts w:ascii="宋体" w:hAnsi="宋体"/>
        </w:rPr>
      </w:pPr>
      <w:r>
        <w:rPr>
          <w:rFonts w:hint="eastAsia" w:ascii="宋体" w:hAnsi="宋体"/>
        </w:rPr>
        <w:t>3、驾驶状态下的视觉感知；</w:t>
      </w:r>
    </w:p>
    <w:p>
      <w:pPr>
        <w:ind w:firstLine="420"/>
        <w:rPr>
          <w:rFonts w:ascii="宋体" w:hAnsi="宋体"/>
        </w:rPr>
      </w:pPr>
      <w:r>
        <w:rPr>
          <w:rFonts w:hint="eastAsia" w:ascii="宋体" w:hAnsi="宋体"/>
        </w:rPr>
        <w:t>4、人的视觉平衡</w:t>
      </w:r>
    </w:p>
    <w:p>
      <w:pPr>
        <w:ind w:firstLine="420"/>
        <w:rPr>
          <w:rFonts w:ascii="宋体" w:hAnsi="宋体"/>
        </w:rPr>
      </w:pPr>
      <w:r>
        <w:rPr>
          <w:rFonts w:hint="eastAsia" w:ascii="宋体" w:hAnsi="宋体"/>
        </w:rPr>
        <w:t>5、人流因素</w:t>
      </w:r>
    </w:p>
    <w:p>
      <w:pPr>
        <w:rPr>
          <w:rFonts w:ascii="宋体" w:hAnsi="宋体"/>
        </w:rPr>
      </w:pPr>
    </w:p>
    <w:p>
      <w:pPr>
        <w:numPr>
          <w:numId w:val="0"/>
        </w:numPr>
        <w:ind w:left="420" w:leftChars="0"/>
        <w:jc w:val="left"/>
        <w:rPr>
          <w:rFonts w:hint="eastAsia" w:ascii="黑体" w:eastAsia="黑体"/>
          <w:sz w:val="21"/>
          <w:szCs w:val="21"/>
        </w:rPr>
      </w:pPr>
      <w:r>
        <w:rPr>
          <w:rFonts w:hint="eastAsia" w:ascii="黑体" w:eastAsia="黑体"/>
          <w:sz w:val="21"/>
          <w:szCs w:val="21"/>
          <w:lang w:val="en-US" w:eastAsia="zh-CN"/>
        </w:rPr>
        <w:t xml:space="preserve">第一节  </w:t>
      </w:r>
      <w:r>
        <w:rPr>
          <w:rFonts w:hint="eastAsia" w:ascii="黑体" w:eastAsia="黑体"/>
          <w:sz w:val="21"/>
          <w:szCs w:val="21"/>
        </w:rPr>
        <w:t>导视设计中的人体工学</w:t>
      </w:r>
    </w:p>
    <w:p>
      <w:pPr>
        <w:numPr>
          <w:numId w:val="0"/>
        </w:numPr>
        <w:ind w:left="420" w:leftChars="0"/>
        <w:jc w:val="left"/>
        <w:rPr>
          <w:rFonts w:hint="eastAsia" w:ascii="黑体" w:eastAsia="黑体"/>
          <w:sz w:val="21"/>
          <w:szCs w:val="21"/>
        </w:rPr>
      </w:pPr>
      <w:r>
        <w:rPr>
          <w:rFonts w:hint="eastAsia" w:ascii="黑体" w:eastAsia="黑体"/>
          <w:sz w:val="21"/>
          <w:szCs w:val="21"/>
        </w:rPr>
        <w:t>第二节  特殊人群因素</w:t>
      </w:r>
    </w:p>
    <w:p>
      <w:pPr>
        <w:numPr>
          <w:ilvl w:val="0"/>
          <w:numId w:val="0"/>
        </w:numPr>
        <w:ind w:left="420" w:leftChars="0"/>
        <w:jc w:val="left"/>
        <w:rPr>
          <w:rFonts w:hint="eastAsia" w:ascii="黑体" w:eastAsia="黑体"/>
          <w:sz w:val="21"/>
          <w:szCs w:val="21"/>
          <w:lang w:val="en-US" w:eastAsia="zh-CN"/>
        </w:rPr>
      </w:pPr>
      <w:r>
        <w:rPr>
          <w:rFonts w:hint="eastAsia" w:ascii="黑体" w:eastAsia="黑体"/>
          <w:sz w:val="21"/>
          <w:szCs w:val="21"/>
          <w:lang w:val="en-US" w:eastAsia="zh-CN"/>
        </w:rPr>
        <w:t>第三节  导视与环境</w:t>
      </w:r>
    </w:p>
    <w:p>
      <w:pPr>
        <w:ind w:left="1170"/>
        <w:rPr>
          <w:rFonts w:ascii="宋体" w:hAnsi="宋体"/>
        </w:rPr>
      </w:pPr>
    </w:p>
    <w:p>
      <w:pPr>
        <w:numPr>
          <w:ilvl w:val="0"/>
          <w:numId w:val="2"/>
        </w:numPr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b/>
          <w:bCs/>
          <w:sz w:val="30"/>
          <w:szCs w:val="30"/>
        </w:rPr>
        <w:t xml:space="preserve">   导视设计基础</w:t>
      </w:r>
    </w:p>
    <w:p>
      <w:pPr>
        <w:ind w:firstLine="1470" w:firstLineChars="700"/>
        <w:rPr>
          <w:rFonts w:ascii="宋体" w:hAnsi="宋体"/>
        </w:rPr>
      </w:pPr>
      <w:r>
        <w:rPr>
          <w:rFonts w:hint="eastAsia" w:ascii="宋体" w:hAnsi="宋体"/>
        </w:rPr>
        <w:t>课程重点：</w:t>
      </w:r>
    </w:p>
    <w:p>
      <w:pPr>
        <w:numPr>
          <w:ilvl w:val="0"/>
          <w:numId w:val="3"/>
        </w:numPr>
        <w:rPr>
          <w:rFonts w:ascii="宋体" w:hAnsi="宋体"/>
        </w:rPr>
      </w:pPr>
      <w:r>
        <w:rPr>
          <w:rFonts w:hint="eastAsia" w:ascii="宋体" w:hAnsi="宋体"/>
        </w:rPr>
        <w:t>布点位置的整体规划</w:t>
      </w:r>
    </w:p>
    <w:p>
      <w:pPr>
        <w:numPr>
          <w:ilvl w:val="0"/>
          <w:numId w:val="3"/>
        </w:numPr>
        <w:rPr>
          <w:rFonts w:ascii="宋体" w:hAnsi="宋体"/>
        </w:rPr>
      </w:pPr>
      <w:r>
        <w:rPr>
          <w:rFonts w:hint="eastAsia" w:ascii="宋体" w:hAnsi="宋体"/>
        </w:rPr>
        <w:t>同类标识的布置规划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 xml:space="preserve">        </w:t>
      </w:r>
    </w:p>
    <w:p>
      <w:pPr>
        <w:numPr>
          <w:ilvl w:val="0"/>
          <w:numId w:val="0"/>
        </w:numPr>
        <w:jc w:val="left"/>
        <w:rPr>
          <w:rFonts w:hint="eastAsia" w:ascii="黑体" w:eastAsia="黑体"/>
          <w:sz w:val="21"/>
          <w:szCs w:val="21"/>
          <w:lang w:val="en-US" w:eastAsia="zh-CN"/>
        </w:rPr>
      </w:pPr>
      <w:r>
        <w:rPr>
          <w:rFonts w:hint="eastAsia" w:ascii="黑体" w:eastAsia="黑体"/>
          <w:sz w:val="21"/>
          <w:szCs w:val="21"/>
          <w:lang w:val="en-US" w:eastAsia="zh-CN"/>
        </w:rPr>
        <w:t>第一节  导视系统规划</w:t>
      </w:r>
    </w:p>
    <w:p>
      <w:pPr>
        <w:numPr>
          <w:ilvl w:val="0"/>
          <w:numId w:val="0"/>
        </w:numPr>
        <w:jc w:val="left"/>
        <w:rPr>
          <w:rFonts w:hint="eastAsia" w:ascii="黑体" w:eastAsia="黑体"/>
          <w:sz w:val="21"/>
          <w:szCs w:val="21"/>
          <w:lang w:val="en-US" w:eastAsia="zh-CN"/>
        </w:rPr>
      </w:pPr>
      <w:r>
        <w:rPr>
          <w:rFonts w:hint="eastAsia" w:ascii="黑体" w:eastAsia="黑体"/>
          <w:sz w:val="21"/>
          <w:szCs w:val="21"/>
          <w:lang w:val="en-US" w:eastAsia="zh-CN"/>
        </w:rPr>
        <w:t>第二节  导视的构成要素</w:t>
      </w:r>
    </w:p>
    <w:p>
      <w:pPr>
        <w:numPr>
          <w:ilvl w:val="0"/>
          <w:numId w:val="0"/>
        </w:numPr>
        <w:jc w:val="left"/>
        <w:rPr>
          <w:rFonts w:hint="eastAsia" w:ascii="黑体" w:eastAsia="黑体"/>
          <w:sz w:val="21"/>
          <w:szCs w:val="21"/>
          <w:lang w:val="en-US" w:eastAsia="zh-CN"/>
        </w:rPr>
      </w:pPr>
      <w:r>
        <w:rPr>
          <w:rFonts w:hint="eastAsia" w:ascii="黑体" w:eastAsia="黑体"/>
          <w:sz w:val="21"/>
          <w:szCs w:val="21"/>
          <w:lang w:val="en-US" w:eastAsia="zh-CN"/>
        </w:rPr>
        <w:t>第三节  导视设计的视觉元素</w:t>
      </w:r>
    </w:p>
    <w:p>
      <w:pPr>
        <w:ind w:firstLine="435"/>
        <w:rPr>
          <w:rFonts w:ascii="宋体" w:hAnsi="宋体"/>
        </w:rPr>
      </w:pPr>
      <w:r>
        <w:rPr>
          <w:rFonts w:hint="eastAsia" w:ascii="宋体" w:hAnsi="宋体"/>
        </w:rPr>
        <w:t xml:space="preserve">       </w:t>
      </w:r>
    </w:p>
    <w:p>
      <w:pPr>
        <w:ind w:firstLine="435"/>
        <w:jc w:val="center"/>
        <w:rPr>
          <w:rFonts w:ascii="黑体" w:eastAsia="黑体"/>
          <w:sz w:val="28"/>
        </w:rPr>
      </w:pPr>
      <w:r>
        <w:rPr>
          <w:rFonts w:hint="eastAsia" w:ascii="黑体" w:eastAsia="黑体"/>
          <w:b/>
          <w:bCs/>
          <w:sz w:val="30"/>
          <w:szCs w:val="30"/>
        </w:rPr>
        <w:t xml:space="preserve">第五章  </w:t>
      </w:r>
      <w:r>
        <w:rPr>
          <w:rFonts w:hint="eastAsia" w:ascii="黑体" w:hAnsi="黑体" w:eastAsia="黑体" w:cs="黑体"/>
          <w:b/>
          <w:bCs/>
          <w:sz w:val="30"/>
          <w:szCs w:val="30"/>
        </w:rPr>
        <w:t>视觉导视的材料和工艺</w:t>
      </w:r>
      <w:r>
        <w:rPr>
          <w:rFonts w:hint="eastAsia" w:ascii="黑体" w:eastAsia="黑体"/>
          <w:sz w:val="28"/>
        </w:rPr>
        <w:t xml:space="preserve">  </w:t>
      </w:r>
    </w:p>
    <w:p>
      <w:pPr>
        <w:ind w:firstLine="435"/>
        <w:rPr>
          <w:rFonts w:ascii="宋体" w:hAnsi="宋体"/>
        </w:rPr>
      </w:pPr>
      <w:r>
        <w:rPr>
          <w:rFonts w:hint="eastAsia" w:ascii="宋体" w:hAnsi="宋体"/>
        </w:rPr>
        <w:t>课程重点：</w:t>
      </w:r>
    </w:p>
    <w:p>
      <w:pPr>
        <w:numPr>
          <w:ilvl w:val="0"/>
          <w:numId w:val="4"/>
        </w:numPr>
        <w:adjustRightInd w:val="0"/>
        <w:snapToGrid w:val="0"/>
        <w:spacing w:line="360" w:lineRule="auto"/>
        <w:ind w:firstLine="420" w:firstLineChars="200"/>
        <w:rPr>
          <w:rFonts w:ascii="宋体" w:hAnsi="宋体"/>
          <w:bCs/>
        </w:rPr>
      </w:pPr>
      <w:r>
        <w:rPr>
          <w:rFonts w:hint="eastAsia" w:ascii="宋体" w:hAnsi="宋体"/>
          <w:bCs/>
        </w:rPr>
        <w:t xml:space="preserve">视觉导视设计与材料            </w:t>
      </w:r>
    </w:p>
    <w:p>
      <w:pPr>
        <w:numPr>
          <w:ilvl w:val="0"/>
          <w:numId w:val="4"/>
        </w:numPr>
        <w:adjustRightInd w:val="0"/>
        <w:snapToGrid w:val="0"/>
        <w:spacing w:line="360" w:lineRule="auto"/>
        <w:ind w:firstLine="420" w:firstLineChars="200"/>
        <w:rPr>
          <w:rFonts w:ascii="宋体" w:hAnsi="宋体"/>
          <w:bCs/>
        </w:rPr>
      </w:pPr>
      <w:r>
        <w:rPr>
          <w:rFonts w:hint="eastAsia" w:ascii="宋体" w:hAnsi="宋体"/>
          <w:bCs/>
        </w:rPr>
        <w:t>材料的分类</w:t>
      </w:r>
    </w:p>
    <w:p>
      <w:pPr>
        <w:numPr>
          <w:ilvl w:val="0"/>
          <w:numId w:val="4"/>
        </w:numPr>
        <w:adjustRightInd w:val="0"/>
        <w:snapToGrid w:val="0"/>
        <w:spacing w:line="360" w:lineRule="auto"/>
        <w:ind w:firstLine="420" w:firstLineChars="200"/>
        <w:rPr>
          <w:rFonts w:ascii="宋体" w:hAnsi="宋体"/>
          <w:bCs/>
        </w:rPr>
      </w:pPr>
      <w:r>
        <w:rPr>
          <w:rFonts w:hint="eastAsia" w:ascii="宋体" w:hAnsi="宋体"/>
          <w:bCs/>
        </w:rPr>
        <w:t>材料性能基础</w:t>
      </w:r>
    </w:p>
    <w:p>
      <w:pPr>
        <w:numPr>
          <w:ilvl w:val="0"/>
          <w:numId w:val="4"/>
        </w:numPr>
        <w:adjustRightInd w:val="0"/>
        <w:snapToGrid w:val="0"/>
        <w:spacing w:line="360" w:lineRule="auto"/>
        <w:ind w:firstLine="420" w:firstLineChars="200"/>
        <w:rPr>
          <w:rFonts w:ascii="宋体" w:hAnsi="宋体"/>
          <w:bCs/>
        </w:rPr>
      </w:pPr>
      <w:r>
        <w:rPr>
          <w:rFonts w:hint="eastAsia" w:ascii="宋体" w:hAnsi="宋体"/>
          <w:bCs/>
        </w:rPr>
        <w:t>材料美学基础</w:t>
      </w:r>
    </w:p>
    <w:p>
      <w:pPr>
        <w:numPr>
          <w:ilvl w:val="0"/>
          <w:numId w:val="4"/>
        </w:numPr>
        <w:adjustRightInd w:val="0"/>
        <w:snapToGrid w:val="0"/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  <w:bCs/>
        </w:rPr>
        <w:t>材料的选择与搭配</w:t>
      </w:r>
    </w:p>
    <w:p>
      <w:pPr>
        <w:numPr>
          <w:ilvl w:val="0"/>
          <w:numId w:val="0"/>
        </w:numPr>
        <w:jc w:val="left"/>
        <w:rPr>
          <w:rFonts w:hint="eastAsia" w:ascii="黑体" w:eastAsia="黑体"/>
          <w:sz w:val="21"/>
          <w:szCs w:val="21"/>
          <w:lang w:val="en-US" w:eastAsia="zh-CN"/>
        </w:rPr>
      </w:pPr>
      <w:r>
        <w:rPr>
          <w:rFonts w:hint="eastAsia" w:ascii="黑体" w:eastAsia="黑体"/>
          <w:sz w:val="21"/>
          <w:szCs w:val="21"/>
          <w:lang w:val="en-US" w:eastAsia="zh-CN"/>
        </w:rPr>
        <w:t>第一节   视觉导视材料基础</w:t>
      </w:r>
    </w:p>
    <w:p>
      <w:pPr>
        <w:numPr>
          <w:ilvl w:val="0"/>
          <w:numId w:val="0"/>
        </w:numPr>
        <w:jc w:val="left"/>
        <w:rPr>
          <w:rFonts w:hint="eastAsia" w:ascii="黑体" w:eastAsia="黑体"/>
          <w:sz w:val="21"/>
          <w:szCs w:val="21"/>
          <w:lang w:val="en-US" w:eastAsia="zh-CN"/>
        </w:rPr>
      </w:pPr>
      <w:r>
        <w:rPr>
          <w:rFonts w:hint="eastAsia" w:ascii="黑体" w:eastAsia="黑体"/>
          <w:sz w:val="21"/>
          <w:szCs w:val="21"/>
          <w:lang w:val="en-US" w:eastAsia="zh-CN"/>
        </w:rPr>
        <w:t>第二节   视觉导视常用材料及加工</w:t>
      </w:r>
    </w:p>
    <w:p>
      <w:pPr>
        <w:rPr>
          <w:rFonts w:ascii="黑体" w:eastAsia="黑体"/>
          <w:sz w:val="28"/>
        </w:rPr>
      </w:pPr>
      <w:r>
        <w:rPr>
          <w:rFonts w:hint="eastAsia" w:ascii="黑体" w:eastAsia="黑体"/>
          <w:sz w:val="21"/>
          <w:szCs w:val="21"/>
          <w:lang w:val="en-US" w:eastAsia="zh-CN"/>
        </w:rPr>
        <w:t>第三节   电光源和科技产品的运用</w:t>
      </w:r>
    </w:p>
    <w:p>
      <w:pPr>
        <w:numPr>
          <w:ilvl w:val="0"/>
          <w:numId w:val="5"/>
        </w:numPr>
        <w:adjustRightInd w:val="0"/>
        <w:snapToGrid w:val="0"/>
        <w:spacing w:line="360" w:lineRule="auto"/>
        <w:ind w:firstLine="420" w:firstLineChars="200"/>
        <w:rPr>
          <w:rFonts w:ascii="宋体" w:hAnsi="宋体"/>
          <w:bCs/>
        </w:rPr>
      </w:pPr>
      <w:r>
        <w:rPr>
          <w:rFonts w:hint="eastAsia" w:ascii="宋体" w:hAnsi="宋体"/>
        </w:rPr>
        <w:t xml:space="preserve">            </w:t>
      </w:r>
    </w:p>
    <w:p>
      <w:pPr>
        <w:ind w:firstLine="435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b/>
          <w:bCs/>
          <w:sz w:val="30"/>
          <w:szCs w:val="30"/>
        </w:rPr>
        <w:t>第六章  导视系统规划设计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 xml:space="preserve">         课程重点：</w:t>
      </w:r>
    </w:p>
    <w:p>
      <w:pPr>
        <w:numPr>
          <w:ilvl w:val="0"/>
          <w:numId w:val="6"/>
        </w:numPr>
        <w:rPr>
          <w:rFonts w:ascii="宋体" w:hAnsi="宋体"/>
        </w:rPr>
      </w:pPr>
      <w:r>
        <w:rPr>
          <w:rFonts w:hint="eastAsia" w:ascii="宋体" w:hAnsi="宋体"/>
        </w:rPr>
        <w:t>区域空间结构分析</w:t>
      </w:r>
    </w:p>
    <w:p>
      <w:pPr>
        <w:numPr>
          <w:ilvl w:val="0"/>
          <w:numId w:val="6"/>
        </w:numPr>
        <w:rPr>
          <w:rFonts w:ascii="宋体" w:hAnsi="宋体"/>
        </w:rPr>
      </w:pPr>
      <w:r>
        <w:rPr>
          <w:rFonts w:hint="eastAsia" w:ascii="宋体" w:hAnsi="宋体"/>
        </w:rPr>
        <w:t>区域空间结构的信息整理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</w:p>
    <w:p>
      <w:pPr>
        <w:numPr>
          <w:ilvl w:val="0"/>
          <w:numId w:val="0"/>
        </w:numPr>
        <w:jc w:val="left"/>
        <w:rPr>
          <w:rFonts w:hint="eastAsia" w:ascii="黑体" w:eastAsia="黑体"/>
          <w:sz w:val="21"/>
          <w:szCs w:val="21"/>
          <w:lang w:val="en-US" w:eastAsia="zh-CN"/>
        </w:rPr>
      </w:pPr>
      <w:r>
        <w:rPr>
          <w:rFonts w:hint="eastAsia" w:ascii="黑体" w:eastAsia="黑体"/>
          <w:sz w:val="21"/>
          <w:szCs w:val="21"/>
          <w:lang w:val="en-US" w:eastAsia="zh-CN"/>
        </w:rPr>
        <w:t>第一节  导视项目分析与信息整理</w:t>
      </w:r>
    </w:p>
    <w:p>
      <w:pPr>
        <w:numPr>
          <w:ilvl w:val="0"/>
          <w:numId w:val="0"/>
        </w:numPr>
        <w:jc w:val="left"/>
        <w:rPr>
          <w:rFonts w:hint="eastAsia" w:ascii="黑体" w:eastAsia="黑体"/>
          <w:sz w:val="21"/>
          <w:szCs w:val="21"/>
          <w:lang w:val="en-US" w:eastAsia="zh-CN"/>
        </w:rPr>
      </w:pPr>
      <w:r>
        <w:rPr>
          <w:rFonts w:hint="eastAsia" w:ascii="黑体" w:eastAsia="黑体"/>
          <w:sz w:val="21"/>
          <w:szCs w:val="21"/>
          <w:lang w:val="en-US" w:eastAsia="zh-CN"/>
        </w:rPr>
        <w:t>第二节  导视系统的规划布置设计</w:t>
      </w:r>
    </w:p>
    <w:p>
      <w:pPr>
        <w:numPr>
          <w:ilvl w:val="0"/>
          <w:numId w:val="0"/>
        </w:numPr>
        <w:jc w:val="left"/>
        <w:rPr>
          <w:rFonts w:hint="eastAsia" w:ascii="黑体" w:eastAsia="黑体"/>
          <w:sz w:val="21"/>
          <w:szCs w:val="21"/>
          <w:lang w:val="en-US" w:eastAsia="zh-CN"/>
        </w:rPr>
      </w:pPr>
      <w:r>
        <w:rPr>
          <w:rFonts w:hint="eastAsia" w:ascii="黑体" w:eastAsia="黑体"/>
          <w:sz w:val="21"/>
          <w:szCs w:val="21"/>
          <w:lang w:val="en-US" w:eastAsia="zh-CN"/>
        </w:rPr>
        <w:t>第三节  导视规划布置需要考虑的环境因素</w:t>
      </w:r>
    </w:p>
    <w:p>
      <w:pPr>
        <w:numPr>
          <w:numId w:val="0"/>
        </w:numPr>
        <w:rPr>
          <w:rFonts w:ascii="黑体" w:eastAsia="黑体"/>
          <w:sz w:val="28"/>
        </w:rPr>
      </w:pPr>
      <w:r>
        <w:rPr>
          <w:rFonts w:hint="eastAsia" w:ascii="黑体" w:eastAsia="黑体"/>
          <w:sz w:val="28"/>
        </w:rPr>
        <w:t xml:space="preserve">     </w:t>
      </w:r>
    </w:p>
    <w:p>
      <w:pPr>
        <w:ind w:firstLine="435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b/>
          <w:bCs/>
          <w:sz w:val="30"/>
          <w:szCs w:val="30"/>
        </w:rPr>
        <w:t>第七章  导视造型设计</w:t>
      </w:r>
    </w:p>
    <w:p>
      <w:pPr>
        <w:rPr>
          <w:rFonts w:ascii="宋体"/>
        </w:rPr>
      </w:pPr>
      <w:r>
        <w:rPr>
          <w:rFonts w:hint="eastAsia" w:ascii="宋体"/>
        </w:rPr>
        <w:t>课程重点：</w:t>
      </w:r>
    </w:p>
    <w:p>
      <w:pPr>
        <w:rPr>
          <w:rFonts w:ascii="宋体"/>
        </w:rPr>
      </w:pPr>
      <w:r>
        <w:rPr>
          <w:rFonts w:hint="eastAsia" w:ascii="宋体"/>
        </w:rPr>
        <w:t>1、风格定位分析法</w:t>
      </w:r>
    </w:p>
    <w:p>
      <w:pPr>
        <w:rPr>
          <w:rFonts w:ascii="宋体"/>
        </w:rPr>
      </w:pPr>
      <w:r>
        <w:rPr>
          <w:rFonts w:hint="eastAsia" w:ascii="宋体"/>
        </w:rPr>
        <w:t>2、环境分析法</w:t>
      </w:r>
    </w:p>
    <w:p>
      <w:pPr>
        <w:rPr>
          <w:rFonts w:ascii="宋体"/>
        </w:rPr>
      </w:pPr>
      <w:r>
        <w:rPr>
          <w:rFonts w:hint="eastAsia" w:ascii="宋体"/>
        </w:rPr>
        <w:t>3、元素提取法</w:t>
      </w:r>
    </w:p>
    <w:p>
      <w:pPr>
        <w:rPr>
          <w:rFonts w:ascii="宋体"/>
        </w:rPr>
      </w:pPr>
      <w:r>
        <w:rPr>
          <w:rFonts w:hint="eastAsia" w:ascii="宋体"/>
        </w:rPr>
        <w:t>4、造型分解法</w:t>
      </w:r>
    </w:p>
    <w:p>
      <w:pPr>
        <w:numPr>
          <w:ilvl w:val="0"/>
          <w:numId w:val="0"/>
        </w:numPr>
        <w:jc w:val="left"/>
        <w:rPr>
          <w:rFonts w:hint="eastAsia" w:ascii="黑体" w:eastAsia="黑体"/>
          <w:sz w:val="21"/>
          <w:szCs w:val="21"/>
          <w:lang w:val="en-US" w:eastAsia="zh-CN"/>
        </w:rPr>
      </w:pPr>
      <w:r>
        <w:rPr>
          <w:rFonts w:hint="eastAsia" w:ascii="黑体" w:eastAsia="黑体"/>
          <w:sz w:val="21"/>
          <w:szCs w:val="21"/>
          <w:lang w:val="en-US" w:eastAsia="zh-CN"/>
        </w:rPr>
        <w:t>第一节  导视造型设计模式</w:t>
      </w:r>
    </w:p>
    <w:p>
      <w:pPr>
        <w:numPr>
          <w:ilvl w:val="0"/>
          <w:numId w:val="0"/>
        </w:numPr>
        <w:jc w:val="left"/>
        <w:rPr>
          <w:rFonts w:hint="eastAsia" w:ascii="黑体" w:eastAsia="黑体"/>
          <w:sz w:val="21"/>
          <w:szCs w:val="21"/>
          <w:lang w:val="en-US" w:eastAsia="zh-CN"/>
        </w:rPr>
      </w:pPr>
      <w:r>
        <w:rPr>
          <w:rFonts w:hint="eastAsia" w:ascii="黑体" w:eastAsia="黑体"/>
          <w:sz w:val="21"/>
          <w:szCs w:val="21"/>
          <w:lang w:val="en-US" w:eastAsia="zh-CN"/>
        </w:rPr>
        <w:t>第二节  导视造型设计因素</w:t>
      </w:r>
    </w:p>
    <w:p>
      <w:pPr>
        <w:numPr>
          <w:ilvl w:val="0"/>
          <w:numId w:val="0"/>
        </w:numPr>
        <w:jc w:val="left"/>
        <w:rPr>
          <w:rFonts w:hint="eastAsia" w:ascii="黑体" w:eastAsia="黑体"/>
          <w:sz w:val="21"/>
          <w:szCs w:val="21"/>
          <w:lang w:val="en-US" w:eastAsia="zh-CN"/>
        </w:rPr>
      </w:pPr>
      <w:r>
        <w:rPr>
          <w:rFonts w:hint="eastAsia" w:ascii="黑体" w:eastAsia="黑体"/>
          <w:sz w:val="21"/>
          <w:szCs w:val="21"/>
          <w:lang w:val="en-US" w:eastAsia="zh-CN"/>
        </w:rPr>
        <w:t>第三节 导视造型设计方法及制图</w:t>
      </w:r>
    </w:p>
    <w:p>
      <w:pPr>
        <w:rPr>
          <w:rFonts w:hint="eastAsia" w:ascii="黑体" w:eastAsia="黑体"/>
          <w:sz w:val="28"/>
        </w:rPr>
      </w:pPr>
    </w:p>
    <w:p>
      <w:pPr>
        <w:numPr>
          <w:ilvl w:val="0"/>
          <w:numId w:val="7"/>
        </w:numPr>
        <w:ind w:firstLine="435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b/>
          <w:bCs/>
          <w:sz w:val="30"/>
          <w:szCs w:val="30"/>
        </w:rPr>
        <w:t xml:space="preserve"> 公共交通枢纽的导视系统设计</w:t>
      </w:r>
    </w:p>
    <w:p>
      <w:pPr>
        <w:rPr>
          <w:rFonts w:ascii="宋体"/>
        </w:rPr>
      </w:pPr>
      <w:r>
        <w:rPr>
          <w:rFonts w:hint="eastAsia" w:ascii="宋体"/>
        </w:rPr>
        <w:t>课程重点：</w:t>
      </w:r>
    </w:p>
    <w:p>
      <w:pPr>
        <w:rPr>
          <w:rFonts w:ascii="宋体"/>
        </w:rPr>
      </w:pPr>
      <w:r>
        <w:rPr>
          <w:rFonts w:hint="eastAsia" w:ascii="宋体"/>
        </w:rPr>
        <w:t>1、一体化</w:t>
      </w:r>
    </w:p>
    <w:p>
      <w:pPr>
        <w:rPr>
          <w:rFonts w:ascii="宋体"/>
        </w:rPr>
      </w:pPr>
      <w:r>
        <w:rPr>
          <w:rFonts w:hint="eastAsia" w:ascii="宋体"/>
        </w:rPr>
        <w:t>2、智能化</w:t>
      </w:r>
    </w:p>
    <w:p>
      <w:pPr>
        <w:rPr>
          <w:rFonts w:ascii="宋体"/>
        </w:rPr>
      </w:pPr>
      <w:r>
        <w:rPr>
          <w:rFonts w:hint="eastAsia" w:ascii="宋体"/>
        </w:rPr>
        <w:t>3、国际化</w:t>
      </w:r>
    </w:p>
    <w:p>
      <w:pPr>
        <w:rPr>
          <w:rFonts w:ascii="黑体" w:eastAsia="黑体"/>
          <w:sz w:val="28"/>
        </w:rPr>
      </w:pPr>
      <w:r>
        <w:rPr>
          <w:rFonts w:hint="eastAsia" w:ascii="宋体"/>
        </w:rPr>
        <w:t>4、便捷化</w:t>
      </w:r>
    </w:p>
    <w:p>
      <w:pPr>
        <w:numPr>
          <w:ilvl w:val="0"/>
          <w:numId w:val="0"/>
        </w:numPr>
        <w:jc w:val="left"/>
        <w:rPr>
          <w:rFonts w:hint="eastAsia" w:ascii="黑体" w:eastAsia="黑体"/>
          <w:sz w:val="21"/>
          <w:szCs w:val="21"/>
          <w:lang w:val="en-US" w:eastAsia="zh-CN"/>
        </w:rPr>
      </w:pPr>
      <w:r>
        <w:rPr>
          <w:rFonts w:hint="eastAsia" w:ascii="黑体" w:eastAsia="黑体"/>
          <w:sz w:val="21"/>
          <w:szCs w:val="21"/>
          <w:lang w:val="en-US" w:eastAsia="zh-CN"/>
        </w:rPr>
        <w:t>第一节 机场导视系统设计</w:t>
      </w:r>
    </w:p>
    <w:p>
      <w:pPr>
        <w:numPr>
          <w:ilvl w:val="0"/>
          <w:numId w:val="0"/>
        </w:numPr>
        <w:jc w:val="left"/>
        <w:rPr>
          <w:rFonts w:hint="eastAsia" w:ascii="黑体" w:eastAsia="黑体"/>
          <w:sz w:val="21"/>
          <w:szCs w:val="21"/>
          <w:lang w:val="en-US" w:eastAsia="zh-CN"/>
        </w:rPr>
      </w:pPr>
      <w:r>
        <w:rPr>
          <w:rFonts w:hint="eastAsia" w:ascii="黑体" w:eastAsia="黑体"/>
          <w:sz w:val="21"/>
          <w:szCs w:val="21"/>
          <w:lang w:val="en-US" w:eastAsia="zh-CN"/>
        </w:rPr>
        <w:t>第二节 轨道交通导视系统设计</w:t>
      </w:r>
    </w:p>
    <w:p>
      <w:pPr>
        <w:numPr>
          <w:ilvl w:val="0"/>
          <w:numId w:val="0"/>
        </w:numPr>
        <w:jc w:val="left"/>
        <w:rPr>
          <w:rFonts w:hint="eastAsia" w:ascii="黑体" w:eastAsia="黑体"/>
          <w:sz w:val="21"/>
          <w:szCs w:val="21"/>
          <w:lang w:val="en-US" w:eastAsia="zh-CN"/>
        </w:rPr>
      </w:pPr>
      <w:r>
        <w:rPr>
          <w:rFonts w:hint="eastAsia" w:ascii="黑体" w:eastAsia="黑体"/>
          <w:sz w:val="21"/>
          <w:szCs w:val="21"/>
          <w:lang w:val="en-US" w:eastAsia="zh-CN"/>
        </w:rPr>
        <w:t>第三节 公共停车场导视系统设计</w:t>
      </w:r>
    </w:p>
    <w:p>
      <w:pPr>
        <w:numPr>
          <w:ilvl w:val="0"/>
          <w:numId w:val="7"/>
        </w:numPr>
        <w:ind w:firstLine="435"/>
        <w:jc w:val="center"/>
        <w:rPr>
          <w:rFonts w:ascii="黑体" w:eastAsia="黑体"/>
          <w:sz w:val="28"/>
        </w:rPr>
      </w:pPr>
      <w:r>
        <w:rPr>
          <w:rFonts w:hint="eastAsia" w:ascii="黑体" w:eastAsia="黑体"/>
          <w:b/>
          <w:bCs/>
          <w:sz w:val="30"/>
          <w:szCs w:val="30"/>
        </w:rPr>
        <w:t xml:space="preserve"> 公共建筑的导视系统设计</w:t>
      </w:r>
    </w:p>
    <w:p>
      <w:pPr>
        <w:rPr>
          <w:rFonts w:ascii="宋体"/>
        </w:rPr>
      </w:pPr>
      <w:r>
        <w:rPr>
          <w:rFonts w:hint="eastAsia" w:ascii="宋体"/>
        </w:rPr>
        <w:t>课程重点：</w:t>
      </w:r>
    </w:p>
    <w:p>
      <w:pPr>
        <w:rPr>
          <w:rFonts w:ascii="宋体"/>
        </w:rPr>
      </w:pPr>
      <w:r>
        <w:rPr>
          <w:rFonts w:hint="eastAsia" w:ascii="宋体"/>
        </w:rPr>
        <w:t>1、环境复杂且人员众多</w:t>
      </w:r>
    </w:p>
    <w:p>
      <w:pPr>
        <w:rPr>
          <w:rFonts w:ascii="宋体"/>
        </w:rPr>
      </w:pPr>
      <w:r>
        <w:rPr>
          <w:rFonts w:hint="eastAsia" w:ascii="宋体"/>
        </w:rPr>
        <w:t>2、运营交错且相互关联</w:t>
      </w:r>
    </w:p>
    <w:p>
      <w:pPr>
        <w:rPr>
          <w:rFonts w:ascii="黑体" w:eastAsia="黑体"/>
          <w:sz w:val="28"/>
        </w:rPr>
      </w:pPr>
      <w:r>
        <w:rPr>
          <w:rFonts w:hint="eastAsia" w:ascii="宋体"/>
        </w:rPr>
        <w:t>3、信息繁复且关系安危</w:t>
      </w:r>
    </w:p>
    <w:p>
      <w:pPr>
        <w:numPr>
          <w:ilvl w:val="0"/>
          <w:numId w:val="0"/>
        </w:numPr>
        <w:jc w:val="left"/>
        <w:rPr>
          <w:rFonts w:hint="eastAsia" w:ascii="黑体" w:eastAsia="黑体"/>
          <w:sz w:val="21"/>
          <w:szCs w:val="21"/>
          <w:lang w:val="en-US" w:eastAsia="zh-CN"/>
        </w:rPr>
      </w:pPr>
      <w:r>
        <w:rPr>
          <w:rFonts w:hint="eastAsia" w:ascii="黑体" w:eastAsia="黑体"/>
          <w:sz w:val="21"/>
          <w:szCs w:val="21"/>
          <w:lang w:val="en-US" w:eastAsia="zh-CN"/>
        </w:rPr>
        <w:t>第一节 教育机构导视系统设计</w:t>
      </w:r>
    </w:p>
    <w:p>
      <w:pPr>
        <w:numPr>
          <w:ilvl w:val="0"/>
          <w:numId w:val="0"/>
        </w:numPr>
        <w:jc w:val="left"/>
        <w:rPr>
          <w:rFonts w:hint="eastAsia" w:ascii="黑体" w:eastAsia="黑体"/>
          <w:sz w:val="21"/>
          <w:szCs w:val="21"/>
          <w:lang w:val="en-US" w:eastAsia="zh-CN"/>
        </w:rPr>
      </w:pPr>
      <w:r>
        <w:rPr>
          <w:rFonts w:hint="eastAsia" w:ascii="黑体" w:eastAsia="黑体"/>
          <w:sz w:val="21"/>
          <w:szCs w:val="21"/>
          <w:lang w:val="en-US" w:eastAsia="zh-CN"/>
        </w:rPr>
        <w:t>第二节 办公场所导视系统设计</w:t>
      </w:r>
    </w:p>
    <w:p>
      <w:pPr>
        <w:numPr>
          <w:ilvl w:val="0"/>
          <w:numId w:val="0"/>
        </w:numPr>
        <w:jc w:val="left"/>
        <w:rPr>
          <w:rFonts w:hint="eastAsia" w:ascii="黑体" w:eastAsia="黑体"/>
          <w:sz w:val="21"/>
          <w:szCs w:val="21"/>
          <w:lang w:val="en-US" w:eastAsia="zh-CN"/>
        </w:rPr>
      </w:pPr>
      <w:r>
        <w:rPr>
          <w:rFonts w:hint="eastAsia" w:ascii="黑体" w:eastAsia="黑体"/>
          <w:sz w:val="21"/>
          <w:szCs w:val="21"/>
          <w:lang w:val="en-US" w:eastAsia="zh-CN"/>
        </w:rPr>
        <w:t>第三节 宾馆酒店导视系统设计</w:t>
      </w:r>
    </w:p>
    <w:p>
      <w:pPr>
        <w:numPr>
          <w:ilvl w:val="0"/>
          <w:numId w:val="0"/>
        </w:numPr>
        <w:jc w:val="left"/>
        <w:rPr>
          <w:rFonts w:hint="eastAsia" w:ascii="黑体" w:eastAsia="黑体"/>
          <w:sz w:val="21"/>
          <w:szCs w:val="21"/>
          <w:lang w:val="en-US" w:eastAsia="zh-CN"/>
        </w:rPr>
      </w:pPr>
      <w:r>
        <w:rPr>
          <w:rFonts w:hint="eastAsia" w:ascii="黑体" w:eastAsia="黑体"/>
          <w:sz w:val="21"/>
          <w:szCs w:val="21"/>
          <w:lang w:val="en-US" w:eastAsia="zh-CN"/>
        </w:rPr>
        <w:t>第四节 会展导向标识系统设计</w:t>
      </w:r>
    </w:p>
    <w:p>
      <w:pPr>
        <w:ind w:left="435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第十章 无障碍标识系统设计</w:t>
      </w:r>
    </w:p>
    <w:p>
      <w:pPr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第一节、无障碍标识系统的设计原则</w:t>
      </w:r>
    </w:p>
    <w:p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宋体"/>
        </w:rPr>
        <w:t>课程重点：</w:t>
      </w:r>
    </w:p>
    <w:p>
      <w:pPr>
        <w:numPr>
          <w:ilvl w:val="0"/>
          <w:numId w:val="8"/>
        </w:num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规范性</w:t>
      </w:r>
    </w:p>
    <w:p>
      <w:pPr>
        <w:numPr>
          <w:ilvl w:val="0"/>
          <w:numId w:val="8"/>
        </w:num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无障碍系统在不同公共环境中的设计要点</w:t>
      </w:r>
    </w:p>
    <w:p>
      <w:pPr>
        <w:numPr>
          <w:ilvl w:val="0"/>
          <w:numId w:val="0"/>
        </w:numPr>
        <w:jc w:val="left"/>
        <w:rPr>
          <w:rFonts w:hint="eastAsia" w:ascii="黑体" w:eastAsia="黑体"/>
          <w:sz w:val="21"/>
          <w:szCs w:val="21"/>
          <w:lang w:val="en-US" w:eastAsia="zh-CN"/>
        </w:rPr>
      </w:pPr>
      <w:r>
        <w:rPr>
          <w:rFonts w:hint="eastAsia" w:ascii="黑体" w:eastAsia="黑体"/>
          <w:sz w:val="21"/>
          <w:szCs w:val="21"/>
          <w:lang w:val="en-US" w:eastAsia="zh-CN"/>
        </w:rPr>
        <w:t>第一节、无障碍标识系统的设计原则</w:t>
      </w:r>
    </w:p>
    <w:p>
      <w:pPr>
        <w:numPr>
          <w:ilvl w:val="0"/>
          <w:numId w:val="0"/>
        </w:numPr>
        <w:jc w:val="left"/>
        <w:rPr>
          <w:rFonts w:hint="eastAsia" w:ascii="黑体" w:eastAsia="黑体"/>
          <w:sz w:val="21"/>
          <w:szCs w:val="21"/>
          <w:lang w:val="en-US" w:eastAsia="zh-CN"/>
        </w:rPr>
      </w:pPr>
      <w:r>
        <w:rPr>
          <w:rFonts w:hint="eastAsia" w:ascii="黑体" w:eastAsia="黑体"/>
          <w:sz w:val="21"/>
          <w:szCs w:val="21"/>
          <w:lang w:val="en-US" w:eastAsia="zh-CN"/>
        </w:rPr>
        <w:t>第二节、无障碍标识系统设计</w:t>
      </w:r>
    </w:p>
    <w:p>
      <w:pPr>
        <w:jc w:val="center"/>
        <w:rPr>
          <w:rFonts w:ascii="黑体" w:hAnsi="黑体" w:eastAsia="黑体" w:cs="黑体"/>
          <w:sz w:val="32"/>
          <w:szCs w:val="32"/>
        </w:rPr>
      </w:pPr>
    </w:p>
    <w:p>
      <w:pPr>
        <w:jc w:val="center"/>
        <w:rPr>
          <w:rFonts w:ascii="黑体" w:hAnsi="黑体" w:eastAsia="黑体" w:cs="黑体"/>
          <w:b/>
          <w:bCs/>
          <w:sz w:val="30"/>
          <w:szCs w:val="30"/>
        </w:rPr>
      </w:pPr>
    </w:p>
    <w:p>
      <w:pPr>
        <w:jc w:val="center"/>
        <w:rPr>
          <w:rFonts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第十二章 项目实训</w:t>
      </w:r>
    </w:p>
    <w:p>
      <w:pPr>
        <w:rPr>
          <w:rFonts w:ascii="黑体" w:hAnsi="黑体" w:eastAsia="黑体" w:cs="黑体"/>
          <w:sz w:val="28"/>
          <w:szCs w:val="28"/>
        </w:rPr>
      </w:pPr>
    </w:p>
    <w:p>
      <w:pPr>
        <w:numPr>
          <w:ilvl w:val="0"/>
          <w:numId w:val="0"/>
        </w:numPr>
        <w:jc w:val="left"/>
        <w:rPr>
          <w:rFonts w:hint="eastAsia" w:ascii="黑体" w:eastAsia="黑体"/>
          <w:sz w:val="21"/>
          <w:szCs w:val="21"/>
          <w:lang w:val="en-US" w:eastAsia="zh-CN"/>
        </w:rPr>
      </w:pPr>
      <w:r>
        <w:rPr>
          <w:rFonts w:hint="eastAsia" w:ascii="黑体" w:eastAsia="黑体"/>
          <w:sz w:val="21"/>
          <w:szCs w:val="21"/>
          <w:lang w:val="en-US" w:eastAsia="zh-CN"/>
        </w:rPr>
        <w:t>户外调研</w:t>
      </w:r>
    </w:p>
    <w:p>
      <w:pPr>
        <w:numPr>
          <w:ilvl w:val="0"/>
          <w:numId w:val="0"/>
        </w:numPr>
        <w:jc w:val="left"/>
        <w:rPr>
          <w:rFonts w:hint="eastAsia" w:ascii="黑体" w:eastAsia="黑体"/>
          <w:sz w:val="21"/>
          <w:szCs w:val="21"/>
          <w:lang w:val="en-US" w:eastAsia="zh-CN"/>
        </w:rPr>
      </w:pPr>
      <w:r>
        <w:rPr>
          <w:rFonts w:hint="eastAsia" w:ascii="黑体" w:eastAsia="黑体"/>
          <w:sz w:val="21"/>
          <w:szCs w:val="21"/>
          <w:lang w:val="en-US" w:eastAsia="zh-CN"/>
        </w:rPr>
        <w:t>手绘制图</w:t>
      </w:r>
    </w:p>
    <w:p>
      <w:pPr>
        <w:numPr>
          <w:ilvl w:val="0"/>
          <w:numId w:val="0"/>
        </w:numPr>
        <w:jc w:val="left"/>
        <w:rPr>
          <w:rFonts w:hint="eastAsia" w:ascii="黑体" w:eastAsia="黑体"/>
          <w:sz w:val="21"/>
          <w:szCs w:val="21"/>
          <w:lang w:val="en-US" w:eastAsia="zh-CN"/>
        </w:rPr>
      </w:pPr>
      <w:r>
        <w:rPr>
          <w:rFonts w:hint="eastAsia" w:ascii="黑体" w:eastAsia="黑体"/>
          <w:sz w:val="21"/>
          <w:szCs w:val="21"/>
          <w:lang w:val="en-US" w:eastAsia="zh-CN"/>
        </w:rPr>
        <w:t>电脑深化设计</w:t>
      </w:r>
      <w:bookmarkStart w:id="0" w:name="_GoBack"/>
      <w:bookmarkEnd w:id="0"/>
    </w:p>
    <w:p>
      <w:pPr>
        <w:adjustRightInd w:val="0"/>
        <w:snapToGrid w:val="0"/>
        <w:spacing w:line="360" w:lineRule="auto"/>
        <w:rPr>
          <w:rFonts w:ascii="宋体" w:hAnsi="宋体"/>
          <w:szCs w:val="21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F56376"/>
    <w:multiLevelType w:val="singleLevel"/>
    <w:tmpl w:val="BFF56376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C9084054"/>
    <w:multiLevelType w:val="singleLevel"/>
    <w:tmpl w:val="C9084054"/>
    <w:lvl w:ilvl="0" w:tentative="0">
      <w:start w:val="1"/>
      <w:numFmt w:val="decimal"/>
      <w:suff w:val="nothing"/>
      <w:lvlText w:val="%1、"/>
      <w:lvlJc w:val="left"/>
      <w:pPr>
        <w:ind w:left="1785" w:firstLine="0"/>
      </w:pPr>
    </w:lvl>
  </w:abstractNum>
  <w:abstractNum w:abstractNumId="2">
    <w:nsid w:val="F86A1EE7"/>
    <w:multiLevelType w:val="singleLevel"/>
    <w:tmpl w:val="F86A1EE7"/>
    <w:lvl w:ilvl="0" w:tentative="0">
      <w:start w:val="4"/>
      <w:numFmt w:val="chineseCounting"/>
      <w:suff w:val="space"/>
      <w:lvlText w:val="第%1章"/>
      <w:lvlJc w:val="left"/>
      <w:rPr>
        <w:rFonts w:hint="eastAsia"/>
      </w:rPr>
    </w:lvl>
  </w:abstractNum>
  <w:abstractNum w:abstractNumId="3">
    <w:nsid w:val="FEF240F2"/>
    <w:multiLevelType w:val="singleLevel"/>
    <w:tmpl w:val="FEF240F2"/>
    <w:lvl w:ilvl="0" w:tentative="0">
      <w:start w:val="1"/>
      <w:numFmt w:val="decimal"/>
      <w:suff w:val="nothing"/>
      <w:lvlText w:val="%1、"/>
      <w:lvlJc w:val="left"/>
      <w:pPr>
        <w:ind w:left="1470" w:firstLine="0"/>
      </w:pPr>
    </w:lvl>
  </w:abstractNum>
  <w:abstractNum w:abstractNumId="4">
    <w:nsid w:val="57DF8685"/>
    <w:multiLevelType w:val="singleLevel"/>
    <w:tmpl w:val="57DF868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5995C37D"/>
    <w:multiLevelType w:val="singleLevel"/>
    <w:tmpl w:val="5995C37D"/>
    <w:lvl w:ilvl="0" w:tentative="0">
      <w:start w:val="1"/>
      <w:numFmt w:val="chineseCounting"/>
      <w:suff w:val="nothing"/>
      <w:lvlText w:val="%1、"/>
      <w:lvlJc w:val="left"/>
    </w:lvl>
  </w:abstractNum>
  <w:abstractNum w:abstractNumId="6">
    <w:nsid w:val="6F491113"/>
    <w:multiLevelType w:val="multilevel"/>
    <w:tmpl w:val="6F491113"/>
    <w:lvl w:ilvl="0" w:tentative="0">
      <w:start w:val="2"/>
      <w:numFmt w:val="japaneseCounting"/>
      <w:lvlText w:val="第%1节"/>
      <w:lvlJc w:val="left"/>
      <w:pPr>
        <w:tabs>
          <w:tab w:val="left" w:pos="1275"/>
        </w:tabs>
        <w:ind w:left="1275" w:hanging="855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7">
    <w:nsid w:val="78F7AFE7"/>
    <w:multiLevelType w:val="singleLevel"/>
    <w:tmpl w:val="78F7AFE7"/>
    <w:lvl w:ilvl="0" w:tentative="0">
      <w:start w:val="8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146"/>
    <w:rsid w:val="0014484E"/>
    <w:rsid w:val="00171ABB"/>
    <w:rsid w:val="00195980"/>
    <w:rsid w:val="001A6146"/>
    <w:rsid w:val="001E4436"/>
    <w:rsid w:val="00210A09"/>
    <w:rsid w:val="0021543C"/>
    <w:rsid w:val="002657BB"/>
    <w:rsid w:val="002E5945"/>
    <w:rsid w:val="00363868"/>
    <w:rsid w:val="00475C4D"/>
    <w:rsid w:val="004A533D"/>
    <w:rsid w:val="004F36F1"/>
    <w:rsid w:val="005012A4"/>
    <w:rsid w:val="005C58BF"/>
    <w:rsid w:val="005E2795"/>
    <w:rsid w:val="00607FF6"/>
    <w:rsid w:val="006237A6"/>
    <w:rsid w:val="00657652"/>
    <w:rsid w:val="00672BB4"/>
    <w:rsid w:val="00697F77"/>
    <w:rsid w:val="00731413"/>
    <w:rsid w:val="007B4ED2"/>
    <w:rsid w:val="007D3FB0"/>
    <w:rsid w:val="007F520F"/>
    <w:rsid w:val="00813BE0"/>
    <w:rsid w:val="00840C0C"/>
    <w:rsid w:val="008627D8"/>
    <w:rsid w:val="00891B6B"/>
    <w:rsid w:val="008945CF"/>
    <w:rsid w:val="008B3CE8"/>
    <w:rsid w:val="008C57FC"/>
    <w:rsid w:val="00932CA9"/>
    <w:rsid w:val="00A170ED"/>
    <w:rsid w:val="00A2563C"/>
    <w:rsid w:val="00A4411D"/>
    <w:rsid w:val="00A8562B"/>
    <w:rsid w:val="00B93B24"/>
    <w:rsid w:val="00BE422E"/>
    <w:rsid w:val="00C17C01"/>
    <w:rsid w:val="00C63978"/>
    <w:rsid w:val="00D42C74"/>
    <w:rsid w:val="00D82C42"/>
    <w:rsid w:val="00DB16A0"/>
    <w:rsid w:val="00E13520"/>
    <w:rsid w:val="00E17CAE"/>
    <w:rsid w:val="00E43C96"/>
    <w:rsid w:val="00E6002E"/>
    <w:rsid w:val="00E95C4E"/>
    <w:rsid w:val="00F162F5"/>
    <w:rsid w:val="00F31421"/>
    <w:rsid w:val="00F659EA"/>
    <w:rsid w:val="00FE20F8"/>
    <w:rsid w:val="01243F10"/>
    <w:rsid w:val="01406210"/>
    <w:rsid w:val="016F001F"/>
    <w:rsid w:val="020A1BDB"/>
    <w:rsid w:val="02942020"/>
    <w:rsid w:val="035940DA"/>
    <w:rsid w:val="047A3172"/>
    <w:rsid w:val="04DE2C80"/>
    <w:rsid w:val="059508CC"/>
    <w:rsid w:val="063013B6"/>
    <w:rsid w:val="0639500F"/>
    <w:rsid w:val="06E97D41"/>
    <w:rsid w:val="06F425DD"/>
    <w:rsid w:val="070B44CD"/>
    <w:rsid w:val="07153A5D"/>
    <w:rsid w:val="073D0BD6"/>
    <w:rsid w:val="07F355DC"/>
    <w:rsid w:val="08E07866"/>
    <w:rsid w:val="0AF01FD5"/>
    <w:rsid w:val="0B536410"/>
    <w:rsid w:val="0B775CA7"/>
    <w:rsid w:val="0BDD60A8"/>
    <w:rsid w:val="0CB84A89"/>
    <w:rsid w:val="0CCD35AA"/>
    <w:rsid w:val="0E946C3F"/>
    <w:rsid w:val="0F1C3A7D"/>
    <w:rsid w:val="0F506F37"/>
    <w:rsid w:val="0F8C57E5"/>
    <w:rsid w:val="0FC16A4C"/>
    <w:rsid w:val="0FCF0316"/>
    <w:rsid w:val="0FF55890"/>
    <w:rsid w:val="1015554A"/>
    <w:rsid w:val="1024140A"/>
    <w:rsid w:val="10346FDE"/>
    <w:rsid w:val="1065059E"/>
    <w:rsid w:val="10827762"/>
    <w:rsid w:val="10A63D6B"/>
    <w:rsid w:val="10B800AD"/>
    <w:rsid w:val="1125493C"/>
    <w:rsid w:val="1183516A"/>
    <w:rsid w:val="11C67FAE"/>
    <w:rsid w:val="11E7198D"/>
    <w:rsid w:val="120F3772"/>
    <w:rsid w:val="13277A0A"/>
    <w:rsid w:val="133144C6"/>
    <w:rsid w:val="13A069FE"/>
    <w:rsid w:val="13B241D4"/>
    <w:rsid w:val="151C2D30"/>
    <w:rsid w:val="15497AA0"/>
    <w:rsid w:val="155E19B7"/>
    <w:rsid w:val="15E26932"/>
    <w:rsid w:val="16800EFD"/>
    <w:rsid w:val="16BD2895"/>
    <w:rsid w:val="17907886"/>
    <w:rsid w:val="17977EF7"/>
    <w:rsid w:val="195270F4"/>
    <w:rsid w:val="1B8060F9"/>
    <w:rsid w:val="1BAE7515"/>
    <w:rsid w:val="1C2A0D2A"/>
    <w:rsid w:val="1D196E1A"/>
    <w:rsid w:val="1E9C0BBF"/>
    <w:rsid w:val="1EF34DC0"/>
    <w:rsid w:val="1F2949E7"/>
    <w:rsid w:val="1F3E7004"/>
    <w:rsid w:val="1FA536A3"/>
    <w:rsid w:val="1FB91D74"/>
    <w:rsid w:val="1FE74CFE"/>
    <w:rsid w:val="20502883"/>
    <w:rsid w:val="2065147D"/>
    <w:rsid w:val="206B18C4"/>
    <w:rsid w:val="21572966"/>
    <w:rsid w:val="21925875"/>
    <w:rsid w:val="21C81ED3"/>
    <w:rsid w:val="232C0B17"/>
    <w:rsid w:val="237F3F58"/>
    <w:rsid w:val="247E50CC"/>
    <w:rsid w:val="2529669F"/>
    <w:rsid w:val="25CC1290"/>
    <w:rsid w:val="25D2647A"/>
    <w:rsid w:val="26101154"/>
    <w:rsid w:val="263C2075"/>
    <w:rsid w:val="263D7746"/>
    <w:rsid w:val="266812B6"/>
    <w:rsid w:val="274C78C3"/>
    <w:rsid w:val="2844092B"/>
    <w:rsid w:val="28FE60AE"/>
    <w:rsid w:val="2919002A"/>
    <w:rsid w:val="2936227E"/>
    <w:rsid w:val="294E37C0"/>
    <w:rsid w:val="297621CE"/>
    <w:rsid w:val="29E7276A"/>
    <w:rsid w:val="2A27264D"/>
    <w:rsid w:val="2A8E5D76"/>
    <w:rsid w:val="2ADC2E87"/>
    <w:rsid w:val="2BA23871"/>
    <w:rsid w:val="2BCC362A"/>
    <w:rsid w:val="2C3110E7"/>
    <w:rsid w:val="2D0E1C45"/>
    <w:rsid w:val="2D6C5A57"/>
    <w:rsid w:val="2E8B3927"/>
    <w:rsid w:val="2EAB0D56"/>
    <w:rsid w:val="2F3C65D9"/>
    <w:rsid w:val="2FE757EB"/>
    <w:rsid w:val="307B046C"/>
    <w:rsid w:val="3088202D"/>
    <w:rsid w:val="308A49B1"/>
    <w:rsid w:val="30A2689E"/>
    <w:rsid w:val="30A71A45"/>
    <w:rsid w:val="30CF0717"/>
    <w:rsid w:val="320C17E4"/>
    <w:rsid w:val="32543E50"/>
    <w:rsid w:val="335201EB"/>
    <w:rsid w:val="33587173"/>
    <w:rsid w:val="34900D11"/>
    <w:rsid w:val="34E315CE"/>
    <w:rsid w:val="35F93E69"/>
    <w:rsid w:val="36257911"/>
    <w:rsid w:val="37FA70C1"/>
    <w:rsid w:val="38356C7F"/>
    <w:rsid w:val="391B1672"/>
    <w:rsid w:val="391B70E5"/>
    <w:rsid w:val="3A1F0404"/>
    <w:rsid w:val="3AC93A74"/>
    <w:rsid w:val="3AF803CC"/>
    <w:rsid w:val="3C2173DD"/>
    <w:rsid w:val="3D8E098C"/>
    <w:rsid w:val="3E5218FC"/>
    <w:rsid w:val="3E5B4569"/>
    <w:rsid w:val="3F1D4113"/>
    <w:rsid w:val="402C6108"/>
    <w:rsid w:val="40533DF2"/>
    <w:rsid w:val="408A0841"/>
    <w:rsid w:val="40D44E93"/>
    <w:rsid w:val="41AF503A"/>
    <w:rsid w:val="41DF75E4"/>
    <w:rsid w:val="41E521E4"/>
    <w:rsid w:val="42977008"/>
    <w:rsid w:val="4325546F"/>
    <w:rsid w:val="433639DA"/>
    <w:rsid w:val="4351473C"/>
    <w:rsid w:val="43562A23"/>
    <w:rsid w:val="437F2A1E"/>
    <w:rsid w:val="4524450F"/>
    <w:rsid w:val="45C52ABA"/>
    <w:rsid w:val="46AC1EB1"/>
    <w:rsid w:val="46EE670F"/>
    <w:rsid w:val="47332754"/>
    <w:rsid w:val="47375065"/>
    <w:rsid w:val="48800F81"/>
    <w:rsid w:val="4A8B2041"/>
    <w:rsid w:val="4AC83C0F"/>
    <w:rsid w:val="4AF328C1"/>
    <w:rsid w:val="4B30535C"/>
    <w:rsid w:val="4B3F02B3"/>
    <w:rsid w:val="4D5D58C3"/>
    <w:rsid w:val="4E16785B"/>
    <w:rsid w:val="4E711E34"/>
    <w:rsid w:val="4E7704EE"/>
    <w:rsid w:val="4F332075"/>
    <w:rsid w:val="4FB87538"/>
    <w:rsid w:val="4FE15CCA"/>
    <w:rsid w:val="503B6B1C"/>
    <w:rsid w:val="505B3DDB"/>
    <w:rsid w:val="50637297"/>
    <w:rsid w:val="508F6C7B"/>
    <w:rsid w:val="50E14E49"/>
    <w:rsid w:val="5120408F"/>
    <w:rsid w:val="514E0EDC"/>
    <w:rsid w:val="518B2827"/>
    <w:rsid w:val="5271175B"/>
    <w:rsid w:val="52A16AEF"/>
    <w:rsid w:val="52B42B95"/>
    <w:rsid w:val="53090BC3"/>
    <w:rsid w:val="53220A12"/>
    <w:rsid w:val="54AE0B26"/>
    <w:rsid w:val="54C434CB"/>
    <w:rsid w:val="55641178"/>
    <w:rsid w:val="55CB5EA9"/>
    <w:rsid w:val="55D45E91"/>
    <w:rsid w:val="55F40A6A"/>
    <w:rsid w:val="567A6E67"/>
    <w:rsid w:val="56D02CA3"/>
    <w:rsid w:val="5782626B"/>
    <w:rsid w:val="585D04C6"/>
    <w:rsid w:val="5888084A"/>
    <w:rsid w:val="58B024FA"/>
    <w:rsid w:val="58FB7642"/>
    <w:rsid w:val="595D6A8A"/>
    <w:rsid w:val="5B3700DF"/>
    <w:rsid w:val="5D830AB5"/>
    <w:rsid w:val="5DC429A3"/>
    <w:rsid w:val="5E0F4389"/>
    <w:rsid w:val="5E3F7544"/>
    <w:rsid w:val="5F3B6F04"/>
    <w:rsid w:val="60A62BA5"/>
    <w:rsid w:val="60FC04B4"/>
    <w:rsid w:val="621A3580"/>
    <w:rsid w:val="6258599F"/>
    <w:rsid w:val="632519FA"/>
    <w:rsid w:val="646110E6"/>
    <w:rsid w:val="65AF2D0D"/>
    <w:rsid w:val="65C34B51"/>
    <w:rsid w:val="65C813C4"/>
    <w:rsid w:val="65DC10D2"/>
    <w:rsid w:val="6802085A"/>
    <w:rsid w:val="69833AC6"/>
    <w:rsid w:val="69FC16ED"/>
    <w:rsid w:val="6A6043AE"/>
    <w:rsid w:val="6A6B7BD0"/>
    <w:rsid w:val="6A771ED9"/>
    <w:rsid w:val="6B2531E9"/>
    <w:rsid w:val="6B2C540E"/>
    <w:rsid w:val="6CB523B9"/>
    <w:rsid w:val="6D1C6D87"/>
    <w:rsid w:val="6DAF39BB"/>
    <w:rsid w:val="6DDB518F"/>
    <w:rsid w:val="6EB23009"/>
    <w:rsid w:val="6EEB7657"/>
    <w:rsid w:val="6F0F06BF"/>
    <w:rsid w:val="6F3328F4"/>
    <w:rsid w:val="6FC6302D"/>
    <w:rsid w:val="6FFE1D07"/>
    <w:rsid w:val="702C0340"/>
    <w:rsid w:val="708F7347"/>
    <w:rsid w:val="70C70A8C"/>
    <w:rsid w:val="715E5738"/>
    <w:rsid w:val="718A159E"/>
    <w:rsid w:val="71CA379E"/>
    <w:rsid w:val="72D31407"/>
    <w:rsid w:val="73003990"/>
    <w:rsid w:val="73727B91"/>
    <w:rsid w:val="73BB579B"/>
    <w:rsid w:val="73C14612"/>
    <w:rsid w:val="74A42385"/>
    <w:rsid w:val="74AA1AA2"/>
    <w:rsid w:val="75A91E10"/>
    <w:rsid w:val="75D1306D"/>
    <w:rsid w:val="773C42CD"/>
    <w:rsid w:val="783A6CC1"/>
    <w:rsid w:val="787F2394"/>
    <w:rsid w:val="78B30F4F"/>
    <w:rsid w:val="78C0140A"/>
    <w:rsid w:val="78E21AA6"/>
    <w:rsid w:val="79096D65"/>
    <w:rsid w:val="794E278D"/>
    <w:rsid w:val="79ED3462"/>
    <w:rsid w:val="7A6C4FFC"/>
    <w:rsid w:val="7A896DFC"/>
    <w:rsid w:val="7ABB79ED"/>
    <w:rsid w:val="7BC9594F"/>
    <w:rsid w:val="7BF5413D"/>
    <w:rsid w:val="7BFD48EE"/>
    <w:rsid w:val="7C253046"/>
    <w:rsid w:val="7D9911A0"/>
    <w:rsid w:val="7DFC07D7"/>
    <w:rsid w:val="7E1849CB"/>
    <w:rsid w:val="7E774BD5"/>
    <w:rsid w:val="7E7A72E7"/>
    <w:rsid w:val="7F017989"/>
    <w:rsid w:val="7FF60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8">
    <w:name w:val="page number"/>
    <w:basedOn w:val="7"/>
    <w:qFormat/>
    <w:uiPriority w:val="0"/>
  </w:style>
  <w:style w:type="character" w:styleId="9">
    <w:name w:val="Emphasis"/>
    <w:basedOn w:val="7"/>
    <w:qFormat/>
    <w:uiPriority w:val="20"/>
    <w:rPr>
      <w:color w:val="CC0000"/>
    </w:rPr>
  </w:style>
  <w:style w:type="character" w:styleId="10">
    <w:name w:val="HTML Cite"/>
    <w:basedOn w:val="7"/>
    <w:semiHidden/>
    <w:unhideWhenUsed/>
    <w:uiPriority w:val="99"/>
    <w:rPr>
      <w:color w:val="008000"/>
    </w:rPr>
  </w:style>
  <w:style w:type="character" w:customStyle="1" w:styleId="11">
    <w:name w:val="页眉 字符"/>
    <w:basedOn w:val="7"/>
    <w:link w:val="4"/>
    <w:semiHidden/>
    <w:qFormat/>
    <w:uiPriority w:val="99"/>
    <w:rPr>
      <w:kern w:val="2"/>
      <w:sz w:val="18"/>
      <w:szCs w:val="18"/>
    </w:rPr>
  </w:style>
  <w:style w:type="character" w:customStyle="1" w:styleId="12">
    <w:name w:val="页脚 字符"/>
    <w:basedOn w:val="7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FC1C25-783A-4543-A029-C5DE431F30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988</Words>
  <Characters>5634</Characters>
  <Lines>46</Lines>
  <Paragraphs>13</Paragraphs>
  <TotalTime>1</TotalTime>
  <ScaleCrop>false</ScaleCrop>
  <LinksUpToDate>false</LinksUpToDate>
  <CharactersWithSpaces>6609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2019-02-18T01:43:00Z</dcterms:created>
  <dc:creator>czh</dc:creator>
  <cp:lastModifiedBy>xbhzs</cp:lastModifiedBy>
  <cp:lastPrinted>2018-11-04T11:54:00Z</cp:lastPrinted>
  <dcterms:modified xsi:type="dcterms:W3CDTF">2019-03-06T12:48:28Z</dcterms:modified>
  <dc:title>《公共关系学》教学大纲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  <property fmtid="{D5CDD505-2E9C-101B-9397-08002B2CF9AE}" pid="3" name="KSORubyTemplateID" linkTarget="0">
    <vt:lpwstr>6</vt:lpwstr>
  </property>
</Properties>
</file>