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snapToGrid w:val="0"/>
        <w:jc w:val="center"/>
        <w:rPr>
          <w:rFonts w:ascii="黑体" w:eastAsia="黑体"/>
          <w:b/>
          <w:bCs/>
          <w:sz w:val="52"/>
        </w:rPr>
      </w:pPr>
    </w:p>
    <w:p>
      <w:pPr>
        <w:snapToGrid w:val="0"/>
        <w:jc w:val="center"/>
        <w:rPr>
          <w:rFonts w:ascii="黑体" w:eastAsia="黑体"/>
          <w:b/>
          <w:bCs/>
          <w:sz w:val="52"/>
        </w:rPr>
      </w:pPr>
    </w:p>
    <w:p>
      <w:pPr>
        <w:snapToGrid w:val="0"/>
        <w:jc w:val="center"/>
        <w:rPr>
          <w:rFonts w:ascii="黑体" w:eastAsia="黑体"/>
          <w:b/>
          <w:bCs/>
          <w:sz w:val="52"/>
        </w:rPr>
      </w:pPr>
    </w:p>
    <w:p>
      <w:pPr>
        <w:tabs>
          <w:tab w:val="left" w:pos="2160"/>
          <w:tab w:val="left" w:pos="5040"/>
        </w:tabs>
        <w:snapToGrid w:val="0"/>
        <w:spacing w:line="360" w:lineRule="auto"/>
        <w:jc w:val="center"/>
        <w:rPr>
          <w:rFonts w:ascii="黑体" w:eastAsia="黑体"/>
          <w:b/>
          <w:sz w:val="44"/>
          <w:szCs w:val="44"/>
        </w:rPr>
      </w:pPr>
      <w:r>
        <w:rPr>
          <w:rFonts w:hint="eastAsia" w:ascii="黑体" w:eastAsia="黑体"/>
          <w:b/>
          <w:sz w:val="44"/>
          <w:szCs w:val="44"/>
        </w:rPr>
        <w:t>《期货与期权》教学大纲</w:t>
      </w:r>
    </w:p>
    <w:p>
      <w:pPr>
        <w:tabs>
          <w:tab w:val="left" w:pos="2160"/>
          <w:tab w:val="left" w:pos="5040"/>
        </w:tabs>
        <w:snapToGrid w:val="0"/>
        <w:spacing w:line="360" w:lineRule="auto"/>
        <w:jc w:val="center"/>
        <w:rPr>
          <w:rFonts w:eastAsia="隶书"/>
          <w:sz w:val="52"/>
          <w:szCs w:val="52"/>
        </w:rPr>
      </w:pPr>
      <w:r>
        <w:rPr>
          <w:rFonts w:eastAsia="隶书"/>
          <w:sz w:val="52"/>
          <w:szCs w:val="52"/>
        </w:rPr>
        <w:t>（Futures and Options）</w:t>
      </w: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rPr>
          <w:rFonts w:ascii="黑体" w:eastAsia="黑体"/>
          <w:sz w:val="30"/>
          <w:szCs w:val="30"/>
        </w:rPr>
      </w:pPr>
    </w:p>
    <w:p>
      <w:pPr>
        <w:adjustRightInd w:val="0"/>
        <w:snapToGrid w:val="0"/>
        <w:spacing w:line="360" w:lineRule="auto"/>
        <w:ind w:firstLine="2700" w:firstLineChars="900"/>
        <w:rPr>
          <w:rFonts w:hint="eastAsia" w:ascii="Times New Roman" w:hAnsi="Times New Roman" w:eastAsia="黑体" w:cs="Times New Roman"/>
          <w:sz w:val="30"/>
        </w:rPr>
      </w:pPr>
      <w:r>
        <w:rPr>
          <w:rFonts w:hint="eastAsia" w:ascii="Times New Roman" w:hAnsi="Times New Roman" w:eastAsia="黑体" w:cs="Times New Roman"/>
          <w:sz w:val="30"/>
        </w:rPr>
        <w:t>制定单位：</w:t>
      </w:r>
      <w:r>
        <w:rPr>
          <w:rFonts w:hint="eastAsia" w:ascii="Times New Roman" w:hAnsi="Times New Roman" w:eastAsia="黑体" w:cs="Times New Roman"/>
          <w:sz w:val="30"/>
          <w:lang w:val="en-US" w:eastAsia="zh-CN"/>
        </w:rPr>
        <w:t>金融与经济学院</w:t>
      </w:r>
    </w:p>
    <w:p>
      <w:pPr>
        <w:adjustRightInd w:val="0"/>
        <w:snapToGrid w:val="0"/>
        <w:spacing w:line="360" w:lineRule="auto"/>
        <w:ind w:firstLine="2700" w:firstLineChars="900"/>
        <w:rPr>
          <w:rFonts w:hint="eastAsia" w:ascii="宋体" w:hAnsi="宋体" w:eastAsia="黑体" w:cs="Times New Roman"/>
          <w:color w:val="000000"/>
          <w:sz w:val="30"/>
          <w:lang w:val="en-US" w:eastAsia="zh-CN"/>
        </w:rPr>
      </w:pPr>
      <w:r>
        <w:rPr>
          <w:rFonts w:hint="eastAsia" w:ascii="Times New Roman" w:hAnsi="Times New Roman" w:eastAsia="黑体" w:cs="Times New Roman"/>
          <w:color w:val="000000"/>
          <w:sz w:val="30"/>
        </w:rPr>
        <w:t>制 定 人：</w:t>
      </w:r>
      <w:r>
        <w:rPr>
          <w:rFonts w:hint="eastAsia" w:eastAsia="黑体" w:cs="Times New Roman"/>
          <w:color w:val="000000"/>
          <w:sz w:val="30"/>
          <w:lang w:eastAsia="zh-CN"/>
        </w:rPr>
        <w:t>李思捷</w:t>
      </w:r>
    </w:p>
    <w:p>
      <w:pPr>
        <w:adjustRightInd w:val="0"/>
        <w:snapToGrid w:val="0"/>
        <w:spacing w:line="360" w:lineRule="auto"/>
        <w:ind w:firstLine="2700" w:firstLineChars="900"/>
        <w:rPr>
          <w:rFonts w:hint="eastAsia" w:ascii="宋体" w:hAnsi="宋体" w:eastAsia="黑体" w:cs="Times New Roman"/>
          <w:color w:val="000000"/>
          <w:sz w:val="30"/>
          <w:lang w:val="en-US" w:eastAsia="zh-CN"/>
        </w:rPr>
      </w:pPr>
      <w:r>
        <w:rPr>
          <w:rFonts w:hint="eastAsia" w:ascii="Times New Roman" w:hAnsi="Times New Roman" w:eastAsia="黑体" w:cs="Times New Roman"/>
          <w:color w:val="000000"/>
          <w:sz w:val="30"/>
        </w:rPr>
        <w:t>审 核 人：</w:t>
      </w:r>
      <w:r>
        <w:rPr>
          <w:rFonts w:hint="eastAsia" w:ascii="Times New Roman" w:hAnsi="Times New Roman" w:eastAsia="黑体" w:cs="Times New Roman"/>
          <w:color w:val="000000"/>
          <w:sz w:val="30"/>
          <w:lang w:eastAsia="zh-CN"/>
        </w:rPr>
        <w:t>宋志刚</w:t>
      </w:r>
    </w:p>
    <w:p>
      <w:pPr>
        <w:adjustRightInd w:val="0"/>
        <w:snapToGrid w:val="0"/>
        <w:spacing w:line="360" w:lineRule="auto"/>
        <w:ind w:firstLine="2700" w:firstLineChars="900"/>
        <w:rPr>
          <w:rFonts w:hint="eastAsia" w:ascii="黑体" w:hAnsi="Times New Roman" w:eastAsia="黑体" w:cs="Times New Roman"/>
          <w:b/>
          <w:bCs/>
          <w:szCs w:val="21"/>
        </w:rPr>
      </w:pPr>
      <w:r>
        <w:rPr>
          <w:rFonts w:hint="eastAsia" w:ascii="Times New Roman" w:hAnsi="Times New Roman" w:eastAsia="黑体" w:cs="Times New Roman"/>
          <w:sz w:val="30"/>
        </w:rPr>
        <w:t>编写时间：</w:t>
      </w:r>
      <w:r>
        <w:rPr>
          <w:rFonts w:hint="eastAsia" w:ascii="宋体" w:hAnsi="宋体" w:eastAsia="黑体" w:cs="Times New Roman"/>
          <w:sz w:val="30"/>
          <w:lang w:val="en-US" w:eastAsia="zh-CN"/>
        </w:rPr>
        <w:t>2019</w:t>
      </w:r>
      <w:r>
        <w:rPr>
          <w:rFonts w:hint="eastAsia" w:ascii="宋体" w:hAnsi="宋体" w:eastAsia="宋体" w:cs="Times New Roman"/>
          <w:sz w:val="30"/>
        </w:rPr>
        <w:t>年</w:t>
      </w:r>
      <w:r>
        <w:rPr>
          <w:rFonts w:hint="eastAsia" w:ascii="宋体" w:hAnsi="宋体" w:eastAsia="宋体" w:cs="Times New Roman"/>
          <w:sz w:val="30"/>
          <w:lang w:val="en-US" w:eastAsia="zh-CN"/>
        </w:rPr>
        <w:t>9</w:t>
      </w:r>
      <w:r>
        <w:rPr>
          <w:rFonts w:hint="eastAsia" w:ascii="宋体" w:hAnsi="宋体" w:eastAsia="宋体" w:cs="Times New Roman"/>
          <w:sz w:val="30"/>
        </w:rPr>
        <w:t>月</w:t>
      </w:r>
      <w:r>
        <w:rPr>
          <w:rFonts w:hint="eastAsia" w:ascii="宋体" w:hAnsi="宋体" w:eastAsia="宋体" w:cs="Times New Roman"/>
          <w:sz w:val="30"/>
          <w:lang w:val="en-US" w:eastAsia="zh-CN"/>
        </w:rPr>
        <w:t>1</w:t>
      </w:r>
      <w:r>
        <w:rPr>
          <w:rFonts w:hint="eastAsia" w:ascii="宋体" w:hAnsi="宋体" w:eastAsia="宋体" w:cs="Times New Roman"/>
          <w:sz w:val="30"/>
        </w:rPr>
        <w:t>日</w:t>
      </w:r>
    </w:p>
    <w:p>
      <w:pPr>
        <w:adjustRightInd w:val="0"/>
        <w:snapToGrid w:val="0"/>
        <w:spacing w:line="360" w:lineRule="auto"/>
        <w:rPr>
          <w:rFonts w:hint="eastAsia" w:ascii="黑体" w:hAnsi="宋体" w:eastAsia="黑体" w:cs="Times New Roman"/>
          <w:b/>
        </w:rPr>
      </w:pPr>
    </w:p>
    <w:p>
      <w:pPr>
        <w:tabs>
          <w:tab w:val="left" w:pos="2160"/>
          <w:tab w:val="left" w:pos="5040"/>
        </w:tabs>
        <w:snapToGrid w:val="0"/>
        <w:spacing w:line="360" w:lineRule="auto"/>
        <w:rPr>
          <w:rFonts w:ascii="黑体" w:eastAsia="黑体"/>
          <w:sz w:val="30"/>
          <w:szCs w:val="30"/>
        </w:rPr>
      </w:pPr>
    </w:p>
    <w:p>
      <w:pPr>
        <w:tabs>
          <w:tab w:val="left" w:pos="2160"/>
          <w:tab w:val="left" w:pos="5040"/>
        </w:tabs>
        <w:snapToGrid w:val="0"/>
        <w:spacing w:line="360" w:lineRule="auto"/>
        <w:jc w:val="center"/>
        <w:rPr>
          <w:rFonts w:ascii="黑体" w:eastAsia="黑体"/>
          <w:sz w:val="30"/>
          <w:szCs w:val="30"/>
        </w:rPr>
      </w:pPr>
    </w:p>
    <w:p>
      <w:pPr>
        <w:tabs>
          <w:tab w:val="left" w:pos="2160"/>
          <w:tab w:val="left" w:pos="5040"/>
        </w:tabs>
        <w:snapToGrid w:val="0"/>
        <w:spacing w:line="360" w:lineRule="auto"/>
        <w:rPr>
          <w:rFonts w:ascii="黑体" w:eastAsia="黑体"/>
          <w:sz w:val="30"/>
          <w:szCs w:val="30"/>
        </w:rPr>
      </w:pPr>
    </w:p>
    <w:p/>
    <w:p>
      <w:pPr>
        <w:tabs>
          <w:tab w:val="left" w:pos="4846"/>
        </w:tabs>
      </w:pPr>
      <w:bookmarkStart w:id="0" w:name="_GoBack"/>
      <w:bookmarkEnd w:id="0"/>
    </w:p>
    <w:p>
      <w:pPr>
        <w:tabs>
          <w:tab w:val="left" w:pos="4846"/>
        </w:tabs>
      </w:pPr>
    </w:p>
    <w:p>
      <w:pPr>
        <w:tabs>
          <w:tab w:val="left" w:pos="2160"/>
          <w:tab w:val="left" w:pos="5040"/>
        </w:tabs>
        <w:snapToGrid w:val="0"/>
        <w:spacing w:line="360" w:lineRule="auto"/>
        <w:jc w:val="center"/>
        <w:rPr>
          <w:rFonts w:ascii="黑体" w:eastAsia="黑体"/>
          <w:b/>
          <w:sz w:val="32"/>
          <w:szCs w:val="32"/>
        </w:rPr>
      </w:pPr>
      <w:r>
        <w:rPr>
          <w:rFonts w:hint="eastAsia" w:ascii="黑体" w:eastAsia="黑体"/>
          <w:b/>
          <w:sz w:val="32"/>
          <w:szCs w:val="32"/>
        </w:rPr>
        <w:t>课程说明</w:t>
      </w:r>
    </w:p>
    <w:p>
      <w:pPr>
        <w:tabs>
          <w:tab w:val="left" w:pos="2160"/>
          <w:tab w:val="left" w:pos="5040"/>
        </w:tabs>
        <w:snapToGrid w:val="0"/>
        <w:spacing w:line="360" w:lineRule="auto"/>
        <w:rPr>
          <w:rFonts w:ascii="黑体" w:eastAsia="黑体"/>
          <w:b/>
          <w:sz w:val="28"/>
        </w:rPr>
      </w:pPr>
      <w:r>
        <w:rPr>
          <w:rFonts w:hint="eastAsia" w:ascii="黑体" w:eastAsia="黑体"/>
          <w:b/>
          <w:sz w:val="28"/>
        </w:rPr>
        <w:t>一、课程概述：</w:t>
      </w:r>
    </w:p>
    <w:p>
      <w:pPr>
        <w:tabs>
          <w:tab w:val="left" w:pos="2160"/>
        </w:tabs>
        <w:snapToGrid w:val="0"/>
        <w:spacing w:line="360" w:lineRule="auto"/>
      </w:pPr>
      <w:r>
        <w:rPr>
          <w:b/>
        </w:rPr>
        <w:t xml:space="preserve">   </w:t>
      </w:r>
      <w:r>
        <w:rPr>
          <w:rFonts w:hint="eastAsia" w:ascii="黑体" w:eastAsia="黑体"/>
          <w:b/>
          <w:sz w:val="24"/>
        </w:rPr>
        <w:t>（一）课程属性及课程介绍</w:t>
      </w:r>
      <w:r>
        <w:t xml:space="preserve">    </w:t>
      </w:r>
    </w:p>
    <w:p>
      <w:pPr>
        <w:tabs>
          <w:tab w:val="left" w:pos="2160"/>
        </w:tabs>
        <w:snapToGrid w:val="0"/>
        <w:spacing w:line="360" w:lineRule="auto"/>
        <w:ind w:firstLine="420" w:firstLineChars="200"/>
      </w:pPr>
      <w:r>
        <w:rPr>
          <w:rFonts w:hint="eastAsia"/>
        </w:rPr>
        <w:t>在过往的金融专业本科低年级阶段，主要以专业基础课主进行学习。然而专业基础课通常以理论学习为主，毕业后学术在实际工资中解决问题和分析问题的能力较差。因此，通过《期货与期权》等专业课程，以一些经典案例为线索，突出实务性、并站在证券投资者的角度，全面阐述期货与期权市场投资的基本理论、基础知识和基本方法。</w:t>
      </w:r>
    </w:p>
    <w:p>
      <w:pPr>
        <w:tabs>
          <w:tab w:val="left" w:pos="2160"/>
        </w:tabs>
        <w:snapToGrid w:val="0"/>
        <w:spacing w:line="360" w:lineRule="auto"/>
        <w:ind w:firstLine="354" w:firstLineChars="147"/>
        <w:rPr>
          <w:rFonts w:ascii="黑体" w:eastAsia="黑体"/>
          <w:b/>
          <w:sz w:val="24"/>
        </w:rPr>
      </w:pPr>
      <w:r>
        <w:rPr>
          <w:rFonts w:hint="eastAsia" w:ascii="黑体" w:eastAsia="黑体"/>
          <w:b/>
          <w:sz w:val="24"/>
        </w:rPr>
        <w:t>（二）教学目标</w:t>
      </w:r>
    </w:p>
    <w:p>
      <w:pPr>
        <w:tabs>
          <w:tab w:val="left" w:pos="2160"/>
        </w:tabs>
        <w:snapToGrid w:val="0"/>
        <w:spacing w:line="360" w:lineRule="auto"/>
        <w:ind w:firstLine="420" w:firstLineChars="200"/>
      </w:pPr>
      <w:r>
        <w:rPr>
          <w:rFonts w:hint="eastAsia"/>
        </w:rPr>
        <w:t>通过本课程的学习，使学生掌握期货与期权发展的历史背景、基本理论、基础知识和基本方法。要求学生能够运用所学的期货与期权的原理、方法、技能分析和尝试解决金融风险管理中的问题，做到学以致用，以便为学生将来从事证券、基金、投资机构、投资银行等工作提供必要的知识能力准备，以适应因金融创新而不断进步的资产管理行业和金融风险管理。</w:t>
      </w:r>
    </w:p>
    <w:p>
      <w:pPr>
        <w:tabs>
          <w:tab w:val="left" w:pos="2160"/>
        </w:tabs>
        <w:snapToGrid w:val="0"/>
        <w:spacing w:line="360" w:lineRule="auto"/>
        <w:ind w:firstLine="354" w:firstLineChars="147"/>
        <w:rPr>
          <w:rFonts w:ascii="黑体" w:eastAsia="黑体"/>
          <w:b/>
          <w:sz w:val="24"/>
        </w:rPr>
      </w:pPr>
      <w:r>
        <w:rPr>
          <w:rFonts w:hint="eastAsia" w:ascii="黑体" w:eastAsia="黑体"/>
          <w:b/>
          <w:sz w:val="24"/>
        </w:rPr>
        <w:t>（三）适用对象</w:t>
      </w:r>
    </w:p>
    <w:p>
      <w:pPr>
        <w:tabs>
          <w:tab w:val="left" w:pos="2160"/>
        </w:tabs>
        <w:snapToGrid w:val="0"/>
        <w:spacing w:line="360" w:lineRule="auto"/>
      </w:pPr>
      <w:r>
        <w:t xml:space="preserve">    </w:t>
      </w:r>
      <w:r>
        <w:rPr>
          <w:rFonts w:hint="eastAsia"/>
        </w:rPr>
        <w:t>财经类院校金融学类学科高年级本科生。</w:t>
      </w:r>
    </w:p>
    <w:p>
      <w:pPr>
        <w:tabs>
          <w:tab w:val="left" w:pos="2160"/>
        </w:tabs>
        <w:snapToGrid w:val="0"/>
        <w:spacing w:line="360" w:lineRule="auto"/>
        <w:ind w:firstLine="354" w:firstLineChars="147"/>
        <w:rPr>
          <w:rFonts w:ascii="黑体" w:eastAsia="黑体"/>
          <w:b/>
          <w:sz w:val="24"/>
        </w:rPr>
      </w:pPr>
      <w:r>
        <w:rPr>
          <w:rFonts w:hint="eastAsia" w:ascii="黑体" w:eastAsia="黑体"/>
          <w:b/>
          <w:sz w:val="24"/>
        </w:rPr>
        <w:t>（四）先修课程与后续课程</w:t>
      </w:r>
    </w:p>
    <w:p>
      <w:pPr>
        <w:tabs>
          <w:tab w:val="left" w:pos="2160"/>
        </w:tabs>
        <w:snapToGrid w:val="0"/>
        <w:spacing w:line="360" w:lineRule="auto"/>
        <w:ind w:firstLine="525" w:firstLineChars="250"/>
        <w:rPr>
          <w:szCs w:val="21"/>
        </w:rPr>
      </w:pPr>
      <w:r>
        <w:rPr>
          <w:rFonts w:hint="eastAsia"/>
          <w:szCs w:val="21"/>
        </w:rPr>
        <w:t>本门课程的先修课程：《微观经济学》、《高等数学》、《线性代数》与《概率论》等。</w:t>
      </w:r>
    </w:p>
    <w:p>
      <w:pPr>
        <w:tabs>
          <w:tab w:val="left" w:pos="2160"/>
        </w:tabs>
        <w:snapToGrid w:val="0"/>
        <w:spacing w:line="360" w:lineRule="auto"/>
        <w:ind w:firstLine="525" w:firstLineChars="250"/>
        <w:rPr>
          <w:szCs w:val="21"/>
        </w:rPr>
      </w:pPr>
      <w:r>
        <w:rPr>
          <w:rFonts w:hint="eastAsia"/>
          <w:szCs w:val="21"/>
        </w:rPr>
        <w:t>后续课程包括《金融经济学》、《数理金融学》、《金融工程》等。</w:t>
      </w:r>
    </w:p>
    <w:p>
      <w:pPr>
        <w:tabs>
          <w:tab w:val="left" w:pos="2160"/>
        </w:tabs>
        <w:snapToGrid w:val="0"/>
        <w:spacing w:line="360" w:lineRule="auto"/>
        <w:ind w:firstLine="525" w:firstLineChars="250"/>
        <w:rPr>
          <w:szCs w:val="21"/>
        </w:rPr>
      </w:pPr>
    </w:p>
    <w:p>
      <w:pPr>
        <w:tabs>
          <w:tab w:val="left" w:pos="2160"/>
        </w:tabs>
        <w:snapToGrid w:val="0"/>
        <w:spacing w:line="360" w:lineRule="auto"/>
        <w:rPr>
          <w:szCs w:val="21"/>
        </w:rPr>
      </w:pPr>
      <w:r>
        <w:rPr>
          <w:rFonts w:hint="eastAsia" w:ascii="黑体" w:eastAsia="黑体"/>
          <w:b/>
          <w:sz w:val="28"/>
        </w:rPr>
        <w:t>二、任课教师教学过程中应注意的问题</w:t>
      </w:r>
    </w:p>
    <w:p>
      <w:pPr>
        <w:tabs>
          <w:tab w:val="left" w:pos="2160"/>
        </w:tabs>
        <w:snapToGrid w:val="0"/>
        <w:spacing w:line="360" w:lineRule="auto"/>
        <w:ind w:firstLine="525" w:firstLineChars="250"/>
      </w:pPr>
      <w:r>
        <w:rPr>
          <w:rFonts w:hint="eastAsia"/>
        </w:rPr>
        <w:t>教师在从事期货与期权的教学过程中，不仅要完成课程的基本内容和分析方法，而且要注意把握以下几个问题：</w:t>
      </w:r>
    </w:p>
    <w:p>
      <w:pPr>
        <w:tabs>
          <w:tab w:val="left" w:pos="2160"/>
        </w:tabs>
        <w:snapToGrid w:val="0"/>
        <w:spacing w:line="360" w:lineRule="auto"/>
        <w:ind w:firstLine="420" w:firstLineChars="200"/>
      </w:pPr>
      <w:r>
        <w:rPr>
          <w:rFonts w:hint="eastAsia"/>
        </w:rPr>
        <w:t>1、处理好数学工具与基本理论（原理）之间的关系，教学中重在讲清基本原理，同时适当地借鉴数学工具，为理论讲授服务。</w:t>
      </w:r>
    </w:p>
    <w:p>
      <w:pPr>
        <w:tabs>
          <w:tab w:val="left" w:pos="2160"/>
        </w:tabs>
        <w:snapToGrid w:val="0"/>
        <w:spacing w:line="360" w:lineRule="auto"/>
        <w:ind w:firstLine="420" w:firstLineChars="200"/>
      </w:pPr>
      <w:r>
        <w:rPr>
          <w:rFonts w:hint="eastAsia"/>
        </w:rPr>
        <w:t>2、处理好理论体系、框架结构与具体理论之间的关系，从事这门课程教学的教师不仅要给学生具体的理论与知识，而且特别应该注意给予他们有关这门学科的总体框架结构，便于学生们从总体上把握经济学的内容。</w:t>
      </w:r>
    </w:p>
    <w:p>
      <w:pPr>
        <w:tabs>
          <w:tab w:val="left" w:pos="2160"/>
        </w:tabs>
        <w:snapToGrid w:val="0"/>
        <w:spacing w:line="360" w:lineRule="auto"/>
        <w:ind w:firstLine="420" w:firstLineChars="200"/>
      </w:pPr>
      <w:r>
        <w:rPr>
          <w:rFonts w:hint="eastAsia"/>
        </w:rPr>
        <w:t>3、处理好教学内容安排上不同专业学生相同点与差别化的关系。在保证先导课程《金融风管理》的理论体系完整的基础上，对不同专业学生的授课内容、案例分析等方面要体现差别化。</w:t>
      </w:r>
    </w:p>
    <w:p>
      <w:pPr>
        <w:tabs>
          <w:tab w:val="left" w:pos="2160"/>
        </w:tabs>
        <w:snapToGrid w:val="0"/>
        <w:spacing w:line="360" w:lineRule="auto"/>
        <w:ind w:firstLine="420" w:firstLineChars="200"/>
      </w:pPr>
      <w:r>
        <w:rPr>
          <w:rFonts w:hint="eastAsia"/>
        </w:rPr>
        <w:t>对于《期货与期权》教学方法的建议：</w:t>
      </w:r>
    </w:p>
    <w:p>
      <w:pPr>
        <w:tabs>
          <w:tab w:val="left" w:pos="2160"/>
        </w:tabs>
        <w:snapToGrid w:val="0"/>
        <w:spacing w:line="360" w:lineRule="auto"/>
        <w:ind w:firstLine="420" w:firstLineChars="200"/>
      </w:pPr>
      <w:r>
        <w:rPr>
          <w:rFonts w:hint="eastAsia"/>
        </w:rPr>
        <w:t>首先，许多年来，由于金融类专业课授课要求学生具备一定的数学基础，但因为本科院校的学生基础（尤其数学基础）层次不齐，直接导致类似期货与期权虽然开课名称相同，但授课内容却具有天壤之别。较好基础的学生可以通过课堂数理讲解附加课后练习迅速达到金融专业较高层次的水平。基础较差的学生只能了解一些浅薄的文字结束，无法理解金融专业课程的精髓，更无法通过所学的直接运用到未来工作学习中。许多授课老师知道此类差别，导致采用简单的授课方法，远远无法达到开设金融衍生产品的课程目的。</w:t>
      </w:r>
    </w:p>
    <w:p>
      <w:pPr>
        <w:tabs>
          <w:tab w:val="left" w:pos="2160"/>
        </w:tabs>
        <w:snapToGrid w:val="0"/>
        <w:spacing w:line="360" w:lineRule="auto"/>
        <w:ind w:firstLine="420" w:firstLineChars="200"/>
      </w:pPr>
      <w:r>
        <w:rPr>
          <w:rFonts w:hint="eastAsia"/>
        </w:rPr>
        <w:t>其次，市场上关于期货与期权的教材种类繁多，包含的内容自然也不一样。简单的教材知识浅薄，不适合运用于课堂教学。较好的教材由于内容详细，无法在一个学期内给学生教授完毕。所以，要求授课老师具备较高的囊括能力与数理能力，与现实金融环境相结合，去粗取精。</w:t>
      </w:r>
    </w:p>
    <w:p>
      <w:pPr>
        <w:tabs>
          <w:tab w:val="left" w:pos="2160"/>
        </w:tabs>
        <w:snapToGrid w:val="0"/>
        <w:spacing w:line="360" w:lineRule="auto"/>
        <w:ind w:firstLine="420" w:firstLineChars="200"/>
      </w:pPr>
      <w:r>
        <w:rPr>
          <w:rFonts w:hint="eastAsia"/>
        </w:rPr>
        <w:t>最后，如《期货与期权》等金融类专业课是一门理论创新程度较高的学科，一些老师只注重课本知识，忽略了该门学科理论创新前沿的变动，致使许多理论知识体系陈旧，进一步造成学科与实际投资环境需求脱离。造成学生感觉本科金融工程课程学不到实在的东西。</w:t>
      </w:r>
    </w:p>
    <w:p>
      <w:pPr>
        <w:tabs>
          <w:tab w:val="left" w:pos="2160"/>
        </w:tabs>
        <w:snapToGrid w:val="0"/>
        <w:spacing w:line="360" w:lineRule="auto"/>
        <w:ind w:firstLine="420" w:firstLineChars="200"/>
      </w:pPr>
      <w:r>
        <w:rPr>
          <w:rFonts w:hint="eastAsia"/>
        </w:rPr>
        <w:t>基于上述存在的问题，要求任课老师，必须在授课前准确了解授课学生的基础，可能会消耗一点授课时间，但是这种过程可以有助于提高授课的效率。如果条件不允许，则建议金融专业课只对高年级本科生开放（高年级本科生基本具备一定的高等数学与概率论基础）。</w:t>
      </w:r>
    </w:p>
    <w:p>
      <w:pPr>
        <w:tabs>
          <w:tab w:val="left" w:pos="2160"/>
        </w:tabs>
        <w:snapToGrid w:val="0"/>
        <w:spacing w:line="360" w:lineRule="auto"/>
        <w:ind w:firstLine="420" w:firstLineChars="200"/>
      </w:pPr>
      <w:r>
        <w:rPr>
          <w:rFonts w:hint="eastAsia"/>
        </w:rPr>
        <w:t>教师授课过程中可借助部分学术文献进一步让学生了解金融工程中的理论是如何发展的得出的，同时，引导学生大致了解未来学科的发展方向，引导学生课程外甚至工作后如何进行自主学习。</w:t>
      </w:r>
    </w:p>
    <w:p>
      <w:pPr>
        <w:tabs>
          <w:tab w:val="left" w:pos="2160"/>
        </w:tabs>
        <w:snapToGrid w:val="0"/>
        <w:spacing w:line="360" w:lineRule="auto"/>
        <w:ind w:firstLine="420" w:firstLineChars="200"/>
      </w:pPr>
      <w:r>
        <w:rPr>
          <w:rFonts w:hint="eastAsia"/>
        </w:rPr>
        <w:t>组织课堂讨论，进行启发式教学。被动地接受知识与主动地学习有着明显不同的效果。主动思考问题，即使错了，也能通过“错”的刺激，加深理解。所以，在金融工程的教学上应加大启发式教学的力度。具体建议是：第一，在讲授过程中，经常提问。凡是在需要运用前一阶段知识进行推理的地方，都可以让学生自己思考，在这种时候提问学生，比直接按部就班、平铺直叙地讲授更能够激发学生独立思考，也能使学生加深印象。第二，挑选类型类似的章节，让学生自己分析归纳后，上台讲课。在《期货与期权》的学习过程中，有一些分析方法是类似的。第三，将某些学生容易混淆的问题，提出讨论，明辨是非。例如把习题中的一些容易出现的错误提出来讨论，让持有不同意见的同学充分发表意见，而不是简单地给出答案，让学生在不同意见的争论中，自己比较鉴别，确定、接受正确的东西，认识错误所在。有时候，错误意见能够深化认识，收到意想不到的效果。第四，提供实际案例，进行专题讨论。</w:t>
      </w:r>
    </w:p>
    <w:p>
      <w:pPr>
        <w:tabs>
          <w:tab w:val="left" w:pos="2160"/>
        </w:tabs>
        <w:snapToGrid w:val="0"/>
        <w:spacing w:line="360" w:lineRule="auto"/>
        <w:ind w:firstLine="420" w:firstLineChars="200"/>
      </w:pPr>
    </w:p>
    <w:p>
      <w:pPr>
        <w:tabs>
          <w:tab w:val="left" w:pos="2160"/>
          <w:tab w:val="left" w:pos="5040"/>
        </w:tabs>
        <w:snapToGrid w:val="0"/>
        <w:spacing w:line="360" w:lineRule="auto"/>
        <w:rPr>
          <w:rFonts w:ascii="黑体" w:eastAsia="黑体"/>
          <w:b/>
          <w:color w:val="000000"/>
          <w:sz w:val="28"/>
        </w:rPr>
      </w:pPr>
      <w:r>
        <w:rPr>
          <w:rFonts w:hint="eastAsia" w:ascii="黑体" w:eastAsia="黑体"/>
          <w:b/>
          <w:color w:val="000000"/>
          <w:sz w:val="28"/>
        </w:rPr>
        <w:t>三、学时要求与分配</w:t>
      </w:r>
    </w:p>
    <w:p>
      <w:pPr>
        <w:tabs>
          <w:tab w:val="left" w:pos="2160"/>
        </w:tabs>
        <w:snapToGrid w:val="0"/>
        <w:spacing w:line="360" w:lineRule="auto"/>
        <w:rPr>
          <w:rFonts w:ascii="黑体" w:eastAsia="黑体"/>
          <w:b/>
          <w:color w:val="000000"/>
          <w:sz w:val="24"/>
        </w:rPr>
      </w:pPr>
      <w:r>
        <w:rPr>
          <w:rFonts w:hint="eastAsia" w:ascii="黑体" w:eastAsia="黑体"/>
          <w:b/>
          <w:color w:val="000000"/>
          <w:sz w:val="24"/>
        </w:rPr>
        <w:t>（一）总学时要求</w:t>
      </w:r>
    </w:p>
    <w:p>
      <w:pPr>
        <w:ind w:firstLine="630" w:firstLineChars="300"/>
        <w:rPr>
          <w:rFonts w:ascii="宋体" w:hAnsi="宋体"/>
          <w:color w:val="000000"/>
          <w:szCs w:val="21"/>
        </w:rPr>
      </w:pPr>
      <w:r>
        <w:rPr>
          <w:rFonts w:hint="eastAsia" w:ascii="宋体" w:hAnsi="宋体"/>
          <w:color w:val="000000"/>
          <w:szCs w:val="21"/>
        </w:rPr>
        <w:t>总学时为32学时，2学分。</w:t>
      </w:r>
    </w:p>
    <w:p>
      <w:pPr>
        <w:ind w:firstLine="630" w:firstLineChars="300"/>
        <w:rPr>
          <w:rFonts w:ascii="宋体" w:hAnsi="宋体"/>
          <w:color w:val="000000"/>
          <w:szCs w:val="21"/>
        </w:rPr>
      </w:pPr>
    </w:p>
    <w:p>
      <w:pPr>
        <w:tabs>
          <w:tab w:val="left" w:pos="2160"/>
        </w:tabs>
        <w:snapToGrid w:val="0"/>
        <w:spacing w:line="360" w:lineRule="auto"/>
        <w:rPr>
          <w:rFonts w:ascii="黑体" w:eastAsia="黑体"/>
          <w:b/>
          <w:color w:val="000000"/>
          <w:sz w:val="24"/>
        </w:rPr>
      </w:pPr>
      <w:r>
        <w:rPr>
          <w:rFonts w:hint="eastAsia" w:ascii="黑体" w:eastAsia="黑体"/>
          <w:b/>
          <w:color w:val="000000"/>
          <w:sz w:val="24"/>
        </w:rPr>
        <w:t>（二）学时分配</w:t>
      </w:r>
    </w:p>
    <w:tbl>
      <w:tblPr>
        <w:tblStyle w:val="6"/>
        <w:tblW w:w="829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19"/>
        <w:gridCol w:w="1755"/>
        <w:gridCol w:w="4274"/>
        <w:gridCol w:w="11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95"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授课</w:t>
            </w:r>
          </w:p>
          <w:p>
            <w:pPr>
              <w:spacing w:line="240" w:lineRule="auto"/>
              <w:jc w:val="center"/>
              <w:rPr>
                <w:rFonts w:ascii="宋体" w:hAnsi="宋体"/>
                <w:szCs w:val="21"/>
              </w:rPr>
            </w:pPr>
            <w:r>
              <w:rPr>
                <w:rFonts w:hint="eastAsia" w:ascii="宋体" w:hAnsi="宋体"/>
                <w:szCs w:val="21"/>
              </w:rPr>
              <w:t>次数</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授课章节</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主要授课内容</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课时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第一章 期货与期权交易基础知识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第一节 期货交易的起源与发展</w:t>
            </w:r>
          </w:p>
          <w:p>
            <w:pPr>
              <w:spacing w:line="240" w:lineRule="auto"/>
              <w:rPr>
                <w:rFonts w:ascii="宋体" w:hAnsi="宋体"/>
                <w:szCs w:val="21"/>
              </w:rPr>
            </w:pPr>
            <w:r>
              <w:rPr>
                <w:rFonts w:hint="eastAsia" w:ascii="宋体" w:hAnsi="宋体"/>
                <w:szCs w:val="21"/>
              </w:rPr>
              <w:t>第二节 期货交易概述</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第2次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第一章 期货与期权交易基础知识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期货交易流程与基本交易制度</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第3次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第一章 期货与期权交易基础知识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第四节 期货种类</w:t>
            </w:r>
          </w:p>
          <w:p>
            <w:pPr>
              <w:spacing w:line="240" w:lineRule="auto"/>
              <w:rPr>
                <w:rFonts w:ascii="宋体" w:hAnsi="宋体"/>
                <w:szCs w:val="21"/>
              </w:rPr>
            </w:pPr>
            <w:r>
              <w:rPr>
                <w:rFonts w:hint="eastAsia" w:ascii="宋体" w:hAnsi="宋体"/>
                <w:szCs w:val="21"/>
              </w:rPr>
              <w:t>第五节 期权合约概述</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第4次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第二章 期货与期权交易策略</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第一节 套期保值业务</w:t>
            </w:r>
          </w:p>
          <w:p>
            <w:pPr>
              <w:spacing w:line="240" w:lineRule="auto"/>
              <w:rPr>
                <w:rFonts w:ascii="宋体" w:hAnsi="宋体"/>
                <w:szCs w:val="21"/>
              </w:rPr>
            </w:pPr>
            <w:r>
              <w:rPr>
                <w:rFonts w:hint="eastAsia" w:ascii="宋体" w:hAnsi="宋体"/>
                <w:szCs w:val="21"/>
              </w:rPr>
              <w:t>第二节 基差交易与叫价交易</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第5次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第二章 期货与期权交易策略</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期货投机</w:t>
            </w:r>
          </w:p>
          <w:p>
            <w:pPr>
              <w:spacing w:line="240" w:lineRule="auto"/>
              <w:rPr>
                <w:rFonts w:ascii="宋体" w:hAnsi="宋体"/>
                <w:szCs w:val="21"/>
              </w:rPr>
            </w:pPr>
            <w:r>
              <w:rPr>
                <w:rFonts w:hint="eastAsia" w:ascii="宋体" w:hAnsi="宋体"/>
                <w:szCs w:val="21"/>
              </w:rPr>
              <w:t>第四节 期货套利</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第6次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第二章 期货与期权交易策略</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第五节 期权交易策略</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第7次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第三章 期货与期权交易机制</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第一节 外汇期货与外汇期权</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第8次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第三章 期货与期权交易机制</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第二节 利率期货与利率期权</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第9次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第三章 期货与期权交易机制</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股指期货与股指期权</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第10次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第一节 商品价格风险管理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第11次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第二节 股票投资风险管理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第12次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第三节 外汇风险管理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第13次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pacing w:line="240" w:lineRule="auto"/>
              <w:textAlignment w:val="auto"/>
              <w:rPr>
                <w:rFonts w:ascii="宋体" w:hAnsi="宋体"/>
                <w:szCs w:val="21"/>
              </w:rPr>
            </w:pPr>
            <w:r>
              <w:rPr>
                <w:rFonts w:hint="eastAsia" w:ascii="宋体" w:hAnsi="宋体"/>
                <w:szCs w:val="21"/>
              </w:rPr>
              <w:t>第四节 利率风险管理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第14次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第四章 期货期权与风险管理</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第五节 期权定价专题（金融数学基础）</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第15次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szCs w:val="21"/>
              </w:rPr>
            </w:pPr>
            <w:r>
              <w:rPr>
                <w:rFonts w:hint="eastAsia" w:ascii="宋体" w:hAnsi="宋体"/>
                <w:szCs w:val="21"/>
              </w:rPr>
              <w:t>期末复习</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ascii="宋体" w:hAnsi="宋体"/>
                <w:szCs w:val="21"/>
              </w:rPr>
            </w:pPr>
            <w:r>
              <w:rPr>
                <w:rFonts w:hint="eastAsia" w:ascii="宋体" w:hAnsi="宋体"/>
                <w:szCs w:val="21"/>
              </w:rPr>
              <w:t>期末复习</w:t>
            </w:r>
            <w:r>
              <w:rPr>
                <w:rFonts w:ascii="宋体" w:hAnsi="宋体"/>
                <w:szCs w:val="21"/>
              </w:rPr>
              <w:t>--</w:t>
            </w:r>
            <w:r>
              <w:rPr>
                <w:rFonts w:hint="eastAsia" w:ascii="宋体" w:hAnsi="宋体"/>
                <w:szCs w:val="21"/>
              </w:rPr>
              <w:t>知识要点数理</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hint="eastAsia" w:ascii="宋体" w:hAnsi="宋体"/>
                <w:szCs w:val="21"/>
              </w:rPr>
            </w:pPr>
            <w:r>
              <w:rPr>
                <w:rFonts w:hint="eastAsia" w:ascii="宋体" w:hAnsi="宋体"/>
                <w:szCs w:val="21"/>
              </w:rPr>
              <w:t>第16次</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hint="eastAsia" w:ascii="宋体" w:hAnsi="宋体"/>
                <w:szCs w:val="21"/>
              </w:rPr>
            </w:pPr>
            <w:r>
              <w:rPr>
                <w:rFonts w:hint="eastAsia" w:ascii="宋体" w:hAnsi="宋体"/>
                <w:szCs w:val="21"/>
              </w:rPr>
              <w:t>期末复习</w:t>
            </w:r>
          </w:p>
        </w:tc>
        <w:tc>
          <w:tcPr>
            <w:tcW w:w="4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hint="eastAsia" w:ascii="宋体" w:hAnsi="宋体"/>
                <w:szCs w:val="21"/>
              </w:rPr>
            </w:pPr>
            <w:r>
              <w:rPr>
                <w:rFonts w:hint="eastAsia" w:ascii="宋体" w:hAnsi="宋体"/>
                <w:szCs w:val="21"/>
              </w:rPr>
              <w:t>期末复习--知识难点答疑</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hint="eastAsia" w:ascii="宋体" w:hAnsi="宋体"/>
                <w:szCs w:val="21"/>
              </w:rPr>
            </w:pPr>
            <w:r>
              <w:rPr>
                <w:rFonts w:hint="eastAsia" w:ascii="宋体" w:hAnsi="宋体"/>
                <w:szCs w:val="21"/>
              </w:rPr>
              <w:t>2</w:t>
            </w:r>
          </w:p>
        </w:tc>
      </w:tr>
    </w:tbl>
    <w:p>
      <w:pPr>
        <w:tabs>
          <w:tab w:val="left" w:pos="2160"/>
          <w:tab w:val="left" w:pos="5040"/>
        </w:tabs>
        <w:snapToGrid w:val="0"/>
        <w:spacing w:line="360" w:lineRule="auto"/>
        <w:rPr>
          <w:rFonts w:ascii="黑体" w:eastAsia="黑体"/>
          <w:b/>
          <w:sz w:val="28"/>
        </w:rPr>
      </w:pPr>
    </w:p>
    <w:p>
      <w:pPr>
        <w:tabs>
          <w:tab w:val="left" w:pos="2160"/>
          <w:tab w:val="left" w:pos="5040"/>
        </w:tabs>
        <w:snapToGrid w:val="0"/>
        <w:spacing w:line="360" w:lineRule="auto"/>
        <w:rPr>
          <w:rFonts w:ascii="黑体" w:eastAsia="黑体"/>
          <w:b/>
          <w:sz w:val="28"/>
        </w:rPr>
      </w:pPr>
      <w:r>
        <w:rPr>
          <w:rFonts w:hint="eastAsia" w:ascii="黑体" w:eastAsia="黑体"/>
          <w:b/>
          <w:sz w:val="28"/>
        </w:rPr>
        <w:t>四、教学参考资料</w:t>
      </w:r>
    </w:p>
    <w:p>
      <w:pPr>
        <w:pStyle w:val="9"/>
        <w:numPr>
          <w:ilvl w:val="0"/>
          <w:numId w:val="1"/>
        </w:numPr>
        <w:spacing w:line="400" w:lineRule="exact"/>
        <w:ind w:firstLineChars="0"/>
        <w:rPr>
          <w:rFonts w:ascii="宋体" w:hAnsi="宋体"/>
          <w:szCs w:val="21"/>
        </w:rPr>
      </w:pPr>
      <w:r>
        <w:rPr>
          <w:rFonts w:hint="eastAsia" w:ascii="宋体" w:hAnsi="宋体"/>
          <w:szCs w:val="21"/>
        </w:rPr>
        <w:t>《期货与期权-理论、实务、案例》，邓小朱、周云洁编，中国人民大学出版社</w:t>
      </w:r>
      <w:r>
        <w:rPr>
          <w:rFonts w:ascii="宋体" w:hAnsi="宋体"/>
          <w:szCs w:val="21"/>
        </w:rPr>
        <w:t>.</w:t>
      </w:r>
    </w:p>
    <w:p>
      <w:pPr>
        <w:pStyle w:val="9"/>
        <w:numPr>
          <w:ilvl w:val="0"/>
          <w:numId w:val="1"/>
        </w:numPr>
        <w:spacing w:line="400" w:lineRule="exact"/>
        <w:ind w:firstLineChars="0"/>
        <w:rPr>
          <w:rFonts w:ascii="宋体" w:hAnsi="宋体"/>
          <w:szCs w:val="21"/>
        </w:rPr>
      </w:pPr>
      <w:r>
        <w:rPr>
          <w:rFonts w:hint="eastAsia" w:ascii="宋体" w:hAnsi="宋体"/>
          <w:szCs w:val="21"/>
        </w:rPr>
        <w:t>《期货与期权》（第3版）,</w:t>
      </w:r>
      <w:r>
        <w:rPr>
          <w:rFonts w:hint="eastAsia"/>
        </w:rPr>
        <w:t>罗孝玲编，高等教育出版社</w:t>
      </w:r>
      <w:r>
        <w:t>.</w:t>
      </w:r>
    </w:p>
    <w:p>
      <w:pPr>
        <w:pStyle w:val="9"/>
        <w:numPr>
          <w:ilvl w:val="0"/>
          <w:numId w:val="1"/>
        </w:numPr>
        <w:spacing w:line="400" w:lineRule="exact"/>
        <w:ind w:firstLineChars="0"/>
        <w:rPr>
          <w:rFonts w:ascii="宋体" w:hAnsi="宋体"/>
          <w:szCs w:val="21"/>
        </w:rPr>
      </w:pPr>
      <w:r>
        <w:rPr>
          <w:rFonts w:hint="eastAsia" w:ascii="宋体" w:hAnsi="宋体"/>
          <w:szCs w:val="21"/>
        </w:rPr>
        <w:t>《期货与期权教程》（第6版），罗孝玲、杨艳军著，清华大学出版社.</w:t>
      </w:r>
    </w:p>
    <w:p>
      <w:pPr>
        <w:spacing w:line="400" w:lineRule="exact"/>
        <w:rPr>
          <w:rFonts w:ascii="宋体" w:hAnsi="宋体"/>
          <w:szCs w:val="21"/>
        </w:rPr>
      </w:pPr>
    </w:p>
    <w:p>
      <w:pPr>
        <w:spacing w:line="400" w:lineRule="exact"/>
        <w:rPr>
          <w:rFonts w:ascii="宋体" w:hAnsi="宋体"/>
          <w:szCs w:val="21"/>
        </w:rPr>
      </w:pPr>
      <w:r>
        <w:rPr>
          <w:rFonts w:hint="eastAsia" w:ascii="黑体" w:eastAsia="黑体"/>
          <w:b/>
          <w:sz w:val="28"/>
        </w:rPr>
        <w:t>五、课程的考核要求</w:t>
      </w:r>
    </w:p>
    <w:p>
      <w:pPr>
        <w:snapToGrid w:val="0"/>
        <w:ind w:right="386" w:firstLine="178" w:firstLineChars="85"/>
        <w:rPr>
          <w:rFonts w:ascii="宋体" w:hAnsi="宋体" w:cs="宋体"/>
          <w:kern w:val="0"/>
          <w:szCs w:val="21"/>
        </w:rPr>
      </w:pPr>
      <w:r>
        <w:rPr>
          <w:rFonts w:hint="eastAsia" w:cs="宋体"/>
          <w:kern w:val="0"/>
          <w:szCs w:val="21"/>
        </w:rPr>
        <w:t>本课程采取闭卷考试的方式；时间为</w:t>
      </w:r>
      <w:r>
        <w:rPr>
          <w:kern w:val="0"/>
          <w:szCs w:val="21"/>
        </w:rPr>
        <w:t>2</w:t>
      </w:r>
      <w:r>
        <w:rPr>
          <w:rFonts w:hint="eastAsia" w:cs="宋体"/>
          <w:kern w:val="0"/>
          <w:szCs w:val="21"/>
        </w:rPr>
        <w:t>小时（</w:t>
      </w:r>
      <w:r>
        <w:rPr>
          <w:kern w:val="0"/>
          <w:szCs w:val="21"/>
        </w:rPr>
        <w:t>120</w:t>
      </w:r>
      <w:r>
        <w:rPr>
          <w:rFonts w:hint="eastAsia" w:cs="宋体"/>
          <w:kern w:val="0"/>
          <w:szCs w:val="21"/>
        </w:rPr>
        <w:t>分钟）</w:t>
      </w:r>
    </w:p>
    <w:p>
      <w:pPr>
        <w:snapToGrid w:val="0"/>
        <w:spacing w:line="360" w:lineRule="auto"/>
        <w:ind w:right="386" w:firstLine="178" w:firstLineChars="85"/>
        <w:rPr>
          <w:rFonts w:cs="宋体"/>
          <w:kern w:val="0"/>
          <w:szCs w:val="21"/>
        </w:rPr>
      </w:pPr>
      <w:r>
        <w:rPr>
          <w:rFonts w:hint="eastAsia" w:cs="宋体"/>
          <w:kern w:val="0"/>
          <w:szCs w:val="21"/>
        </w:rPr>
        <w:t>总评成绩的计算依据：</w:t>
      </w:r>
    </w:p>
    <w:p>
      <w:pPr>
        <w:pStyle w:val="9"/>
        <w:numPr>
          <w:ilvl w:val="0"/>
          <w:numId w:val="2"/>
        </w:numPr>
        <w:snapToGrid w:val="0"/>
        <w:spacing w:line="360" w:lineRule="auto"/>
        <w:ind w:right="772" w:firstLineChars="0"/>
        <w:rPr>
          <w:rFonts w:cs="宋体"/>
          <w:kern w:val="0"/>
          <w:szCs w:val="21"/>
        </w:rPr>
      </w:pPr>
      <w:r>
        <w:rPr>
          <w:rFonts w:hint="eastAsia" w:cs="宋体"/>
          <w:kern w:val="0"/>
          <w:szCs w:val="21"/>
        </w:rPr>
        <w:t>平时成绩：占总评成绩的30%。其中，课堂发言、面试占总评成绩的10%</w:t>
      </w:r>
      <w:r>
        <w:rPr>
          <w:rFonts w:cs="宋体"/>
          <w:kern w:val="0"/>
          <w:szCs w:val="21"/>
        </w:rPr>
        <w:t>，</w:t>
      </w:r>
      <w:r>
        <w:rPr>
          <w:rFonts w:hint="eastAsia" w:cs="宋体"/>
          <w:kern w:val="0"/>
          <w:szCs w:val="21"/>
        </w:rPr>
        <w:t>作业与课堂出勤占20</w:t>
      </w:r>
      <w:r>
        <w:rPr>
          <w:rFonts w:cs="宋体"/>
          <w:kern w:val="0"/>
          <w:szCs w:val="21"/>
        </w:rPr>
        <w:t>%。</w:t>
      </w:r>
    </w:p>
    <w:p>
      <w:pPr>
        <w:pStyle w:val="9"/>
        <w:widowControl/>
        <w:numPr>
          <w:ilvl w:val="0"/>
          <w:numId w:val="2"/>
        </w:numPr>
        <w:tabs>
          <w:tab w:val="left" w:pos="2160"/>
        </w:tabs>
        <w:spacing w:line="360" w:lineRule="auto"/>
        <w:ind w:right="386" w:firstLineChars="0"/>
        <w:jc w:val="left"/>
        <w:rPr>
          <w:rFonts w:cs="宋体"/>
          <w:kern w:val="0"/>
          <w:szCs w:val="21"/>
        </w:rPr>
      </w:pPr>
      <w:r>
        <w:rPr>
          <w:rFonts w:hint="eastAsia" w:cs="宋体"/>
          <w:kern w:val="0"/>
          <w:szCs w:val="21"/>
        </w:rPr>
        <w:t>期末成绩：占总评成绩的70%，以期末考试成绩为依据。</w:t>
      </w:r>
    </w:p>
    <w:p>
      <w:pPr>
        <w:widowControl/>
        <w:tabs>
          <w:tab w:val="left" w:pos="2160"/>
        </w:tabs>
        <w:spacing w:line="360" w:lineRule="auto"/>
        <w:ind w:right="386"/>
        <w:jc w:val="left"/>
        <w:rPr>
          <w:rFonts w:cs="宋体"/>
          <w:kern w:val="0"/>
          <w:szCs w:val="21"/>
        </w:rPr>
      </w:pPr>
      <w:r>
        <w:rPr>
          <w:rFonts w:hint="eastAsia" w:cs="宋体"/>
          <w:kern w:val="0"/>
          <w:szCs w:val="21"/>
        </w:rPr>
        <w:t>如下表所示：</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2"/>
        <w:gridCol w:w="2620"/>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平时成绩（30%）</w:t>
            </w:r>
          </w:p>
        </w:tc>
        <w:tc>
          <w:tcPr>
            <w:tcW w:w="262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期末成绩（70%）</w:t>
            </w:r>
          </w:p>
        </w:tc>
        <w:tc>
          <w:tcPr>
            <w:tcW w:w="2184"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总评成绩（100%）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trPr>
        <w:tc>
          <w:tcPr>
            <w:tcW w:w="3492" w:type="dxa"/>
            <w:tcBorders>
              <w:top w:val="single" w:color="auto" w:sz="4" w:space="0"/>
              <w:left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cs="宋体"/>
                <w:kern w:val="0"/>
                <w:szCs w:val="21"/>
              </w:rPr>
              <w:t>课堂发言、案例分析</w:t>
            </w:r>
            <w:r>
              <w:rPr>
                <w:rFonts w:hint="eastAsia" w:ascii="宋体" w:hAnsi="宋体" w:cs="宋体"/>
                <w:kern w:val="0"/>
                <w:szCs w:val="21"/>
              </w:rPr>
              <w:t>（15%）</w:t>
            </w:r>
          </w:p>
        </w:tc>
        <w:tc>
          <w:tcPr>
            <w:tcW w:w="2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期末考试（70%）</w:t>
            </w:r>
          </w:p>
        </w:tc>
        <w:tc>
          <w:tcPr>
            <w:tcW w:w="21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ascii="宋体" w:hAnsi="宋体" w:cs="宋体"/>
                <w:kern w:val="0"/>
                <w:szCs w:val="21"/>
              </w:rPr>
              <w:t>总评（100%）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rPr>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160"/>
              </w:tabs>
              <w:spacing w:line="360" w:lineRule="auto"/>
              <w:jc w:val="center"/>
              <w:rPr>
                <w:rFonts w:ascii="宋体" w:hAnsi="宋体" w:cs="宋体"/>
                <w:kern w:val="0"/>
                <w:szCs w:val="21"/>
              </w:rPr>
            </w:pPr>
            <w:r>
              <w:rPr>
                <w:rFonts w:hint="eastAsia" w:cs="宋体"/>
                <w:kern w:val="0"/>
                <w:szCs w:val="21"/>
              </w:rPr>
              <w:t>作业与课堂出勤</w:t>
            </w:r>
            <w:r>
              <w:rPr>
                <w:rFonts w:hint="eastAsia" w:ascii="宋体" w:hAnsi="宋体" w:cs="宋体"/>
                <w:kern w:val="0"/>
                <w:szCs w:val="21"/>
              </w:rPr>
              <w:t>（15%）</w:t>
            </w:r>
          </w:p>
        </w:tc>
        <w:tc>
          <w:tcPr>
            <w:tcW w:w="26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1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bl>
    <w:p>
      <w:pPr>
        <w:snapToGrid w:val="0"/>
        <w:spacing w:line="360" w:lineRule="auto"/>
        <w:ind w:right="1157"/>
        <w:rPr>
          <w:rFonts w:cs="宋体"/>
          <w:kern w:val="0"/>
          <w:szCs w:val="21"/>
        </w:rPr>
      </w:pPr>
    </w:p>
    <w:p>
      <w:pPr>
        <w:snapToGrid w:val="0"/>
        <w:spacing w:line="360" w:lineRule="auto"/>
        <w:ind w:right="1157"/>
        <w:rPr>
          <w:rFonts w:cs="宋体"/>
          <w:kern w:val="0"/>
          <w:szCs w:val="21"/>
        </w:rPr>
      </w:pPr>
      <w:r>
        <w:rPr>
          <w:rFonts w:hint="eastAsia" w:cs="宋体"/>
          <w:kern w:val="0"/>
          <w:szCs w:val="21"/>
        </w:rPr>
        <w:t>期终考试命题设计：</w:t>
      </w:r>
    </w:p>
    <w:p>
      <w:pPr>
        <w:snapToGrid w:val="0"/>
        <w:spacing w:line="360" w:lineRule="auto"/>
        <w:ind w:right="1157"/>
        <w:rPr>
          <w:rFonts w:cs="宋体"/>
          <w:kern w:val="0"/>
          <w:szCs w:val="21"/>
        </w:rPr>
      </w:pPr>
      <w:r>
        <w:rPr>
          <w:rFonts w:hint="eastAsia" w:cs="宋体"/>
          <w:kern w:val="0"/>
          <w:szCs w:val="21"/>
        </w:rPr>
        <w:t>识记部分约占</w:t>
      </w:r>
      <w:r>
        <w:rPr>
          <w:rFonts w:cs="宋体"/>
          <w:kern w:val="0"/>
          <w:szCs w:val="21"/>
        </w:rPr>
        <w:t>30</w:t>
      </w:r>
      <w:r>
        <w:rPr>
          <w:rFonts w:hint="eastAsia" w:cs="宋体"/>
          <w:kern w:val="0"/>
          <w:szCs w:val="21"/>
        </w:rPr>
        <w:t>％；理解部分约占</w:t>
      </w:r>
      <w:r>
        <w:rPr>
          <w:rFonts w:cs="宋体"/>
          <w:kern w:val="0"/>
          <w:szCs w:val="21"/>
        </w:rPr>
        <w:t>40</w:t>
      </w:r>
      <w:r>
        <w:rPr>
          <w:rFonts w:hint="eastAsia" w:cs="宋体"/>
          <w:kern w:val="0"/>
          <w:szCs w:val="21"/>
        </w:rPr>
        <w:t>％；运用部分约占</w:t>
      </w:r>
      <w:r>
        <w:rPr>
          <w:rFonts w:cs="宋体"/>
          <w:kern w:val="0"/>
          <w:szCs w:val="21"/>
        </w:rPr>
        <w:t>30</w:t>
      </w:r>
      <w:r>
        <w:rPr>
          <w:rFonts w:hint="eastAsia" w:cs="宋体"/>
          <w:kern w:val="0"/>
          <w:szCs w:val="21"/>
        </w:rPr>
        <w:t>％。</w:t>
      </w:r>
    </w:p>
    <w:p>
      <w:pPr>
        <w:snapToGrid w:val="0"/>
        <w:spacing w:line="360" w:lineRule="auto"/>
        <w:ind w:right="1157"/>
        <w:rPr>
          <w:rFonts w:cs="宋体"/>
          <w:kern w:val="0"/>
          <w:szCs w:val="21"/>
        </w:rPr>
      </w:pPr>
      <w:r>
        <w:rPr>
          <w:rFonts w:hint="eastAsia" w:cs="宋体"/>
          <w:kern w:val="0"/>
          <w:szCs w:val="21"/>
        </w:rPr>
        <w:t>考试题型包括简答、计算、分析论述等。</w:t>
      </w:r>
    </w:p>
    <w:p>
      <w:pPr>
        <w:snapToGrid w:val="0"/>
        <w:spacing w:line="240" w:lineRule="auto"/>
        <w:jc w:val="center"/>
        <w:rPr>
          <w:rFonts w:ascii="黑体" w:hAnsi="宋体" w:eastAsia="黑体"/>
          <w:b/>
          <w:sz w:val="32"/>
        </w:rPr>
      </w:pPr>
    </w:p>
    <w:p>
      <w:pPr>
        <w:snapToGrid w:val="0"/>
        <w:spacing w:line="240" w:lineRule="auto"/>
        <w:jc w:val="center"/>
        <w:rPr>
          <w:rFonts w:ascii="黑体" w:hAnsi="宋体" w:eastAsia="黑体"/>
          <w:b/>
          <w:sz w:val="32"/>
        </w:rPr>
      </w:pPr>
      <w:r>
        <w:rPr>
          <w:rFonts w:hint="eastAsia" w:ascii="黑体" w:hAnsi="宋体" w:eastAsia="黑体"/>
          <w:b/>
          <w:sz w:val="32"/>
        </w:rPr>
        <w:t>教学要求及教学要点</w:t>
      </w:r>
    </w:p>
    <w:p>
      <w:pPr>
        <w:pStyle w:val="9"/>
        <w:spacing w:line="240" w:lineRule="auto"/>
        <w:ind w:firstLine="0" w:firstLineChars="0"/>
        <w:jc w:val="center"/>
        <w:outlineLvl w:val="0"/>
        <w:rPr>
          <w:rFonts w:ascii="黑体" w:hAnsi="黑体" w:eastAsia="黑体"/>
          <w:b/>
          <w:sz w:val="30"/>
          <w:szCs w:val="30"/>
        </w:rPr>
      </w:pPr>
      <w:r>
        <w:rPr>
          <w:rFonts w:hint="eastAsia" w:ascii="黑体" w:hAnsi="黑体" w:eastAsia="黑体"/>
          <w:b/>
          <w:sz w:val="30"/>
          <w:szCs w:val="30"/>
        </w:rPr>
        <w:t>第一章 期货与期权交易基础知识</w:t>
      </w:r>
    </w:p>
    <w:p>
      <w:pPr>
        <w:spacing w:line="240" w:lineRule="auto"/>
        <w:rPr>
          <w:rFonts w:ascii="黑体" w:hAnsi="宋体" w:eastAsia="黑体"/>
          <w:bCs/>
          <w:szCs w:val="24"/>
        </w:rPr>
      </w:pPr>
    </w:p>
    <w:p>
      <w:pPr>
        <w:spacing w:line="240" w:lineRule="auto"/>
        <w:rPr>
          <w:rFonts w:ascii="宋体" w:hAnsi="宋体"/>
          <w:bCs/>
          <w:szCs w:val="24"/>
        </w:rPr>
      </w:pPr>
      <w:r>
        <w:rPr>
          <w:rFonts w:hint="eastAsia" w:ascii="黑体" w:hAnsi="宋体" w:eastAsia="黑体"/>
          <w:bCs/>
          <w:szCs w:val="24"/>
        </w:rPr>
        <w:t>【本章教学目的和要求】：</w:t>
      </w:r>
      <w:r>
        <w:rPr>
          <w:rFonts w:hint="eastAsia" w:ascii="宋体" w:hAnsi="宋体"/>
          <w:bCs/>
          <w:szCs w:val="24"/>
        </w:rPr>
        <w:t>本章是对期货交易基础知识的总体介绍。通过本章的学习活动，学生应了解期货交易的起源与发展、基本概念和原理，不同的期货品种，理解并掌握期货市场的功能、交易流程及主要交易制度和目前我国期货交易的发展状况。</w:t>
      </w: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第一节 期货交易的起源与发展</w:t>
      </w:r>
    </w:p>
    <w:p>
      <w:pPr>
        <w:adjustRightInd/>
        <w:spacing w:line="240" w:lineRule="auto"/>
        <w:textAlignment w:val="auto"/>
        <w:rPr>
          <w:rFonts w:ascii="黑体" w:hAnsi="宋体" w:eastAsia="黑体"/>
          <w:bCs/>
          <w:szCs w:val="24"/>
        </w:rPr>
      </w:pPr>
      <w:r>
        <w:rPr>
          <w:rFonts w:hint="eastAsia" w:ascii="黑体" w:hAnsi="宋体" w:eastAsia="黑体"/>
          <w:bCs/>
          <w:szCs w:val="24"/>
        </w:rPr>
        <w:t>【教学内容】</w:t>
      </w:r>
    </w:p>
    <w:p>
      <w:pPr>
        <w:pStyle w:val="9"/>
        <w:numPr>
          <w:ilvl w:val="0"/>
          <w:numId w:val="3"/>
        </w:numPr>
        <w:spacing w:line="240" w:lineRule="auto"/>
        <w:ind w:firstLineChars="0"/>
        <w:jc w:val="left"/>
        <w:rPr>
          <w:rFonts w:ascii="宋体" w:hAnsi="宋体"/>
          <w:b/>
        </w:rPr>
      </w:pPr>
      <w:r>
        <w:rPr>
          <w:rFonts w:hint="eastAsia" w:ascii="宋体" w:hAnsi="宋体"/>
          <w:b/>
        </w:rPr>
        <w:t>期货交易的起源</w:t>
      </w:r>
    </w:p>
    <w:p>
      <w:pPr>
        <w:pStyle w:val="9"/>
        <w:numPr>
          <w:ilvl w:val="0"/>
          <w:numId w:val="3"/>
        </w:numPr>
        <w:spacing w:line="240" w:lineRule="auto"/>
        <w:ind w:firstLineChars="0"/>
        <w:jc w:val="left"/>
        <w:rPr>
          <w:rFonts w:ascii="宋体" w:hAnsi="宋体"/>
          <w:b/>
        </w:rPr>
      </w:pPr>
      <w:r>
        <w:rPr>
          <w:rFonts w:hint="eastAsia" w:ascii="宋体" w:hAnsi="宋体"/>
          <w:b/>
        </w:rPr>
        <w:t>期货交易的发展</w:t>
      </w:r>
    </w:p>
    <w:p>
      <w:pPr>
        <w:pStyle w:val="9"/>
        <w:numPr>
          <w:ilvl w:val="0"/>
          <w:numId w:val="3"/>
        </w:numPr>
        <w:spacing w:line="240" w:lineRule="auto"/>
        <w:ind w:firstLineChars="0"/>
        <w:jc w:val="left"/>
        <w:rPr>
          <w:rFonts w:ascii="宋体" w:hAnsi="宋体"/>
          <w:b/>
        </w:rPr>
      </w:pPr>
      <w:r>
        <w:rPr>
          <w:rFonts w:hint="eastAsia" w:ascii="宋体" w:hAnsi="宋体"/>
          <w:b/>
        </w:rPr>
        <w:t>中国期货市场的建立与发展</w:t>
      </w:r>
    </w:p>
    <w:p>
      <w:pPr>
        <w:spacing w:line="240" w:lineRule="auto"/>
        <w:jc w:val="left"/>
        <w:rPr>
          <w:rFonts w:ascii="宋体" w:hAnsi="宋体"/>
        </w:rPr>
      </w:pPr>
    </w:p>
    <w:p>
      <w:pPr>
        <w:spacing w:line="240" w:lineRule="auto"/>
        <w:jc w:val="center"/>
        <w:outlineLvl w:val="1"/>
        <w:rPr>
          <w:rFonts w:ascii="宋体" w:hAnsi="宋体"/>
        </w:rPr>
      </w:pPr>
      <w:r>
        <w:rPr>
          <w:rFonts w:hint="eastAsia" w:ascii="黑体" w:hAnsi="黑体" w:eastAsia="黑体"/>
          <w:b/>
          <w:sz w:val="28"/>
          <w:szCs w:val="28"/>
        </w:rPr>
        <w:t>第二节 期货交易概述</w:t>
      </w:r>
    </w:p>
    <w:p>
      <w:pPr>
        <w:adjustRightInd/>
        <w:spacing w:line="240" w:lineRule="auto"/>
        <w:textAlignment w:val="auto"/>
        <w:rPr>
          <w:rFonts w:ascii="黑体" w:hAnsi="宋体" w:eastAsia="黑体"/>
          <w:bCs/>
          <w:szCs w:val="24"/>
        </w:rPr>
      </w:pPr>
      <w:r>
        <w:rPr>
          <w:rFonts w:hint="eastAsia" w:ascii="黑体" w:hAnsi="宋体" w:eastAsia="黑体"/>
          <w:bCs/>
          <w:szCs w:val="24"/>
        </w:rPr>
        <w:t>【教学内容】</w:t>
      </w:r>
    </w:p>
    <w:p>
      <w:pPr>
        <w:spacing w:line="240" w:lineRule="auto"/>
        <w:jc w:val="left"/>
        <w:rPr>
          <w:rFonts w:ascii="宋体" w:hAnsi="宋体"/>
          <w:b/>
        </w:rPr>
      </w:pPr>
      <w:r>
        <w:rPr>
          <w:rFonts w:hint="eastAsia" w:ascii="宋体" w:hAnsi="宋体"/>
          <w:b/>
        </w:rPr>
        <w:t>一、期货交易的含义</w:t>
      </w:r>
    </w:p>
    <w:p>
      <w:pPr>
        <w:spacing w:line="240" w:lineRule="auto"/>
        <w:rPr>
          <w:rFonts w:ascii="宋体" w:hAnsi="宋体"/>
          <w:b/>
        </w:rPr>
      </w:pPr>
      <w:r>
        <w:rPr>
          <w:rFonts w:hint="eastAsia" w:ascii="宋体" w:hAnsi="宋体"/>
          <w:b/>
        </w:rPr>
        <w:t>二、期货交易与现货交易的区别</w:t>
      </w:r>
    </w:p>
    <w:p>
      <w:pPr>
        <w:spacing w:line="240" w:lineRule="auto"/>
        <w:rPr>
          <w:rFonts w:ascii="宋体" w:hAnsi="宋体"/>
          <w:b/>
        </w:rPr>
      </w:pPr>
      <w:r>
        <w:rPr>
          <w:rFonts w:hint="eastAsia" w:ascii="宋体" w:hAnsi="宋体"/>
          <w:b/>
        </w:rPr>
        <w:t>三、期货交易的特征</w:t>
      </w:r>
    </w:p>
    <w:p>
      <w:pPr>
        <w:spacing w:line="240" w:lineRule="auto"/>
        <w:rPr>
          <w:rFonts w:ascii="宋体" w:hAnsi="宋体"/>
          <w:b/>
        </w:rPr>
      </w:pPr>
      <w:r>
        <w:rPr>
          <w:rFonts w:hint="eastAsia" w:ascii="宋体" w:hAnsi="宋体"/>
          <w:b/>
        </w:rPr>
        <w:t>四、期货市场的功能与作用</w:t>
      </w:r>
    </w:p>
    <w:p>
      <w:pPr>
        <w:spacing w:line="240" w:lineRule="auto"/>
        <w:rPr>
          <w:rFonts w:ascii="宋体" w:hAnsi="宋体"/>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第三节 期货交易流程与基本交易制度</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4"/>
        </w:numPr>
        <w:spacing w:line="240" w:lineRule="auto"/>
        <w:ind w:firstLineChars="0"/>
        <w:rPr>
          <w:rFonts w:ascii="宋体" w:hAnsi="宋体"/>
          <w:b/>
        </w:rPr>
      </w:pPr>
      <w:r>
        <w:rPr>
          <w:rFonts w:hint="eastAsia" w:ascii="宋体" w:hAnsi="宋体"/>
          <w:b/>
        </w:rPr>
        <w:t>期货交易流程</w:t>
      </w:r>
    </w:p>
    <w:p>
      <w:pPr>
        <w:pStyle w:val="9"/>
        <w:numPr>
          <w:ilvl w:val="0"/>
          <w:numId w:val="4"/>
        </w:numPr>
        <w:spacing w:line="240" w:lineRule="auto"/>
        <w:ind w:firstLineChars="0"/>
        <w:rPr>
          <w:rFonts w:ascii="宋体" w:hAnsi="宋体"/>
          <w:b/>
        </w:rPr>
      </w:pPr>
      <w:r>
        <w:rPr>
          <w:rFonts w:hint="eastAsia" w:ascii="宋体" w:hAnsi="宋体"/>
          <w:b/>
        </w:rPr>
        <w:t>期货基本交易制度</w:t>
      </w:r>
    </w:p>
    <w:p>
      <w:pPr>
        <w:spacing w:line="240" w:lineRule="auto"/>
        <w:rPr>
          <w:rFonts w:ascii="宋体" w:hAnsi="宋体"/>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第四节 期货种类</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5"/>
        </w:numPr>
        <w:spacing w:line="240" w:lineRule="auto"/>
        <w:ind w:firstLineChars="0"/>
        <w:rPr>
          <w:rFonts w:ascii="宋体" w:hAnsi="宋体"/>
          <w:b/>
          <w:bCs/>
        </w:rPr>
      </w:pPr>
      <w:r>
        <w:rPr>
          <w:rFonts w:hint="eastAsia" w:ascii="宋体" w:hAnsi="宋体"/>
          <w:b/>
          <w:bCs/>
        </w:rPr>
        <w:t>商品期货</w:t>
      </w:r>
    </w:p>
    <w:p>
      <w:pPr>
        <w:pStyle w:val="9"/>
        <w:spacing w:line="240" w:lineRule="auto"/>
        <w:ind w:firstLine="0" w:firstLineChars="0"/>
        <w:rPr>
          <w:rFonts w:ascii="宋体" w:hAnsi="宋体"/>
          <w:b/>
          <w:bCs/>
        </w:rPr>
      </w:pPr>
      <w:r>
        <w:rPr>
          <w:rFonts w:hint="eastAsia" w:ascii="宋体" w:hAnsi="宋体"/>
          <w:b/>
          <w:bCs/>
        </w:rPr>
        <w:t>二、金融期货</w:t>
      </w:r>
    </w:p>
    <w:p>
      <w:pPr>
        <w:pStyle w:val="9"/>
        <w:spacing w:line="240" w:lineRule="auto"/>
        <w:ind w:firstLine="0" w:firstLineChars="0"/>
        <w:rPr>
          <w:rFonts w:ascii="宋体" w:hAnsi="宋体"/>
          <w:b/>
          <w:bCs/>
        </w:rPr>
      </w:pPr>
      <w:r>
        <w:rPr>
          <w:rFonts w:hint="eastAsia" w:ascii="宋体" w:hAnsi="宋体"/>
          <w:b/>
          <w:bCs/>
        </w:rPr>
        <w:t>三、其他期货品种</w:t>
      </w:r>
    </w:p>
    <w:p>
      <w:pPr>
        <w:pStyle w:val="9"/>
        <w:spacing w:line="240" w:lineRule="auto"/>
        <w:ind w:firstLine="0" w:firstLineChars="0"/>
        <w:rPr>
          <w:rFonts w:ascii="宋体" w:hAnsi="宋体"/>
          <w:b/>
          <w:bCs/>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第五节 期权合约概述</w:t>
      </w:r>
    </w:p>
    <w:p>
      <w:pPr>
        <w:spacing w:line="240" w:lineRule="auto"/>
        <w:rPr>
          <w:rFonts w:ascii="黑体" w:hAnsi="宋体" w:eastAsia="黑体"/>
          <w:bCs/>
          <w:szCs w:val="24"/>
        </w:rPr>
      </w:pPr>
      <w:r>
        <w:rPr>
          <w:rFonts w:hint="eastAsia" w:ascii="黑体" w:hAnsi="宋体" w:eastAsia="黑体"/>
          <w:bCs/>
          <w:szCs w:val="24"/>
        </w:rPr>
        <w:t>【教学内容】</w:t>
      </w:r>
    </w:p>
    <w:p>
      <w:pPr>
        <w:spacing w:line="240" w:lineRule="auto"/>
        <w:rPr>
          <w:rFonts w:ascii="宋体" w:hAnsi="宋体"/>
          <w:b/>
          <w:bCs/>
        </w:rPr>
      </w:pPr>
      <w:r>
        <w:rPr>
          <w:rFonts w:hint="eastAsia" w:ascii="宋体" w:hAnsi="宋体"/>
          <w:b/>
          <w:bCs/>
        </w:rPr>
        <w:t>一、期权的定义和特点</w:t>
      </w:r>
    </w:p>
    <w:p>
      <w:pPr>
        <w:spacing w:line="240" w:lineRule="auto"/>
        <w:rPr>
          <w:rFonts w:ascii="宋体" w:hAnsi="宋体"/>
          <w:b/>
          <w:bCs/>
        </w:rPr>
      </w:pPr>
      <w:r>
        <w:rPr>
          <w:rFonts w:hint="eastAsia" w:ascii="宋体" w:hAnsi="宋体"/>
          <w:b/>
          <w:bCs/>
        </w:rPr>
        <w:t>二、期权的分类</w:t>
      </w:r>
    </w:p>
    <w:p>
      <w:pPr>
        <w:pStyle w:val="9"/>
        <w:numPr>
          <w:ilvl w:val="0"/>
          <w:numId w:val="4"/>
        </w:numPr>
        <w:spacing w:line="240" w:lineRule="auto"/>
        <w:ind w:firstLineChars="0"/>
        <w:rPr>
          <w:rFonts w:ascii="宋体" w:hAnsi="宋体"/>
          <w:b/>
          <w:bCs/>
        </w:rPr>
      </w:pPr>
      <w:r>
        <w:rPr>
          <w:rFonts w:hint="eastAsia" w:ascii="宋体" w:hAnsi="宋体"/>
          <w:b/>
          <w:bCs/>
        </w:rPr>
        <w:t>期权的功能</w:t>
      </w:r>
    </w:p>
    <w:p>
      <w:pPr>
        <w:pStyle w:val="9"/>
        <w:numPr>
          <w:ilvl w:val="0"/>
          <w:numId w:val="4"/>
        </w:numPr>
        <w:spacing w:line="240" w:lineRule="auto"/>
        <w:ind w:firstLineChars="0"/>
        <w:rPr>
          <w:rFonts w:ascii="宋体" w:hAnsi="宋体"/>
          <w:b/>
          <w:bCs/>
        </w:rPr>
      </w:pPr>
      <w:r>
        <w:rPr>
          <w:rFonts w:hint="eastAsia" w:ascii="宋体" w:hAnsi="宋体"/>
          <w:b/>
          <w:bCs/>
        </w:rPr>
        <w:t>期权交易与期货交易的区别与联系</w:t>
      </w:r>
    </w:p>
    <w:p>
      <w:pPr>
        <w:spacing w:line="240" w:lineRule="auto"/>
        <w:rPr>
          <w:rFonts w:ascii="宋体" w:hAnsi="宋体"/>
          <w:b/>
          <w:bCs/>
        </w:rPr>
      </w:pPr>
    </w:p>
    <w:p>
      <w:pPr>
        <w:spacing w:line="240" w:lineRule="auto"/>
        <w:rPr>
          <w:bCs/>
        </w:rPr>
      </w:pPr>
      <w:r>
        <w:rPr>
          <w:rFonts w:hint="eastAsia"/>
          <w:b/>
        </w:rPr>
        <w:t>【重点、难点】</w:t>
      </w:r>
      <w:r>
        <w:rPr>
          <w:rFonts w:hint="eastAsia"/>
          <w:bCs/>
        </w:rPr>
        <w:t>期货交易流程与基本交易制度、期权合约概述。</w:t>
      </w:r>
    </w:p>
    <w:p>
      <w:pPr>
        <w:spacing w:line="240" w:lineRule="auto"/>
        <w:rPr>
          <w:rFonts w:ascii="宋体" w:hAnsi="宋体"/>
        </w:rPr>
      </w:pPr>
    </w:p>
    <w:p>
      <w:pPr>
        <w:spacing w:line="240" w:lineRule="auto"/>
        <w:rPr>
          <w:rFonts w:ascii="宋体" w:hAnsi="宋体"/>
        </w:rPr>
      </w:pPr>
    </w:p>
    <w:p>
      <w:pPr>
        <w:spacing w:line="240" w:lineRule="auto"/>
        <w:jc w:val="center"/>
        <w:outlineLvl w:val="0"/>
        <w:rPr>
          <w:rFonts w:ascii="黑体" w:hAnsi="黑体" w:eastAsia="黑体"/>
          <w:b/>
          <w:sz w:val="30"/>
          <w:szCs w:val="30"/>
        </w:rPr>
      </w:pPr>
      <w:r>
        <w:rPr>
          <w:rFonts w:hint="eastAsia" w:ascii="黑体" w:hAnsi="黑体" w:eastAsia="黑体"/>
          <w:b/>
          <w:sz w:val="30"/>
          <w:szCs w:val="30"/>
        </w:rPr>
        <w:t>第二章 期货与期权交易策略</w:t>
      </w:r>
    </w:p>
    <w:p>
      <w:pPr>
        <w:spacing w:line="240" w:lineRule="auto"/>
        <w:rPr>
          <w:rFonts w:ascii="宋体" w:hAnsi="宋体"/>
          <w:szCs w:val="21"/>
        </w:rPr>
      </w:pPr>
    </w:p>
    <w:p>
      <w:pPr>
        <w:spacing w:line="240" w:lineRule="auto"/>
        <w:rPr>
          <w:rFonts w:ascii="宋体" w:hAnsi="宋体"/>
          <w:bCs/>
          <w:szCs w:val="24"/>
        </w:rPr>
      </w:pPr>
      <w:r>
        <w:rPr>
          <w:rFonts w:hint="eastAsia" w:ascii="黑体" w:hAnsi="宋体" w:eastAsia="黑体"/>
          <w:bCs/>
          <w:szCs w:val="24"/>
        </w:rPr>
        <w:t>【本章教学目的和要求】：</w:t>
      </w:r>
      <w:r>
        <w:rPr>
          <w:rFonts w:hint="eastAsia" w:ascii="宋体" w:hAnsi="宋体"/>
          <w:bCs/>
          <w:szCs w:val="24"/>
        </w:rPr>
        <w:t>本章是对期货交易策略的总体介绍，通过本章的学习活动，学生应全面了解传统套期保值的概念、基本原理与操作方法；把握基差及基差风险的特性，了解国外现货商进行基差交易、叫价交易操作方法；理解期货套利的作用和方法，明确期货亦可以在现货市场中发挥其巨大的作用。</w:t>
      </w:r>
    </w:p>
    <w:p>
      <w:pPr>
        <w:spacing w:line="240" w:lineRule="auto"/>
        <w:rPr>
          <w:rFonts w:ascii="宋体" w:hAnsi="宋体"/>
          <w:szCs w:val="21"/>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第一节 套期保值业务</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6"/>
        </w:numPr>
        <w:spacing w:line="240" w:lineRule="auto"/>
        <w:ind w:firstLineChars="0"/>
        <w:rPr>
          <w:rFonts w:ascii="宋体" w:hAnsi="宋体"/>
          <w:b/>
          <w:szCs w:val="21"/>
        </w:rPr>
      </w:pPr>
      <w:r>
        <w:rPr>
          <w:rFonts w:hint="eastAsia" w:ascii="宋体" w:hAnsi="宋体"/>
          <w:b/>
          <w:szCs w:val="21"/>
        </w:rPr>
        <w:t>套期保值的概念与功能</w:t>
      </w:r>
    </w:p>
    <w:p>
      <w:pPr>
        <w:pStyle w:val="9"/>
        <w:numPr>
          <w:ilvl w:val="0"/>
          <w:numId w:val="6"/>
        </w:numPr>
        <w:spacing w:line="240" w:lineRule="auto"/>
        <w:ind w:firstLineChars="0"/>
        <w:rPr>
          <w:rFonts w:ascii="宋体" w:hAnsi="宋体"/>
          <w:b/>
          <w:szCs w:val="21"/>
        </w:rPr>
      </w:pPr>
      <w:r>
        <w:rPr>
          <w:rFonts w:hint="eastAsia" w:ascii="宋体" w:hAnsi="宋体"/>
          <w:b/>
          <w:szCs w:val="21"/>
        </w:rPr>
        <w:t>套期保值的类型</w:t>
      </w:r>
    </w:p>
    <w:p>
      <w:pPr>
        <w:pStyle w:val="9"/>
        <w:numPr>
          <w:ilvl w:val="0"/>
          <w:numId w:val="6"/>
        </w:numPr>
        <w:spacing w:line="240" w:lineRule="auto"/>
        <w:ind w:firstLineChars="0"/>
        <w:rPr>
          <w:rFonts w:ascii="宋体" w:hAnsi="宋体"/>
          <w:b/>
          <w:szCs w:val="21"/>
        </w:rPr>
      </w:pPr>
      <w:r>
        <w:rPr>
          <w:rFonts w:hint="eastAsia" w:ascii="宋体" w:hAnsi="宋体"/>
          <w:b/>
          <w:szCs w:val="21"/>
        </w:rPr>
        <w:t>基差与套期保值</w:t>
      </w:r>
    </w:p>
    <w:p>
      <w:pPr>
        <w:pStyle w:val="9"/>
        <w:spacing w:line="240" w:lineRule="auto"/>
        <w:ind w:firstLine="0" w:firstLineChars="0"/>
        <w:rPr>
          <w:rFonts w:ascii="宋体" w:hAnsi="宋体"/>
          <w:b/>
          <w:szCs w:val="21"/>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第二节 基差交易与叫价交易</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7"/>
        </w:numPr>
        <w:spacing w:line="240" w:lineRule="auto"/>
        <w:ind w:firstLineChars="0"/>
        <w:rPr>
          <w:rFonts w:ascii="宋体" w:hAnsi="宋体"/>
          <w:b/>
          <w:bCs/>
          <w:szCs w:val="24"/>
        </w:rPr>
      </w:pPr>
      <w:r>
        <w:rPr>
          <w:rFonts w:hint="eastAsia" w:ascii="宋体" w:hAnsi="宋体"/>
          <w:b/>
          <w:bCs/>
          <w:szCs w:val="24"/>
        </w:rPr>
        <w:t>基差交易</w:t>
      </w:r>
    </w:p>
    <w:p>
      <w:pPr>
        <w:pStyle w:val="9"/>
        <w:numPr>
          <w:ilvl w:val="0"/>
          <w:numId w:val="7"/>
        </w:numPr>
        <w:spacing w:line="240" w:lineRule="auto"/>
        <w:ind w:firstLineChars="0"/>
        <w:rPr>
          <w:rFonts w:ascii="宋体" w:hAnsi="宋体"/>
          <w:b/>
          <w:bCs/>
          <w:szCs w:val="24"/>
        </w:rPr>
      </w:pPr>
      <w:r>
        <w:rPr>
          <w:rFonts w:hint="eastAsia" w:ascii="宋体" w:hAnsi="宋体"/>
          <w:b/>
          <w:bCs/>
          <w:szCs w:val="24"/>
        </w:rPr>
        <w:t>叫价交易</w:t>
      </w:r>
    </w:p>
    <w:p>
      <w:pPr>
        <w:pStyle w:val="9"/>
        <w:spacing w:line="240" w:lineRule="auto"/>
        <w:ind w:firstLine="0" w:firstLineChars="0"/>
        <w:rPr>
          <w:rFonts w:ascii="宋体" w:hAnsi="宋体"/>
          <w:b/>
          <w:bCs/>
          <w:szCs w:val="24"/>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第三节 期货投机</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8"/>
        </w:numPr>
        <w:spacing w:line="240" w:lineRule="auto"/>
        <w:ind w:firstLineChars="0"/>
        <w:rPr>
          <w:rFonts w:ascii="宋体" w:hAnsi="宋体"/>
          <w:b/>
          <w:bCs/>
          <w:szCs w:val="24"/>
        </w:rPr>
      </w:pPr>
      <w:r>
        <w:rPr>
          <w:rFonts w:hint="eastAsia" w:ascii="宋体" w:hAnsi="宋体"/>
          <w:b/>
          <w:bCs/>
          <w:szCs w:val="24"/>
        </w:rPr>
        <w:t>期货投机的含义</w:t>
      </w:r>
    </w:p>
    <w:p>
      <w:pPr>
        <w:pStyle w:val="9"/>
        <w:numPr>
          <w:ilvl w:val="0"/>
          <w:numId w:val="8"/>
        </w:numPr>
        <w:spacing w:line="240" w:lineRule="auto"/>
        <w:ind w:firstLineChars="0"/>
        <w:rPr>
          <w:rFonts w:ascii="宋体" w:hAnsi="宋体"/>
          <w:b/>
          <w:bCs/>
          <w:szCs w:val="24"/>
        </w:rPr>
      </w:pPr>
      <w:r>
        <w:rPr>
          <w:rFonts w:hint="eastAsia" w:ascii="宋体" w:hAnsi="宋体"/>
          <w:b/>
          <w:bCs/>
          <w:szCs w:val="24"/>
        </w:rPr>
        <w:t>期货投机交易的特定</w:t>
      </w:r>
    </w:p>
    <w:p>
      <w:pPr>
        <w:pStyle w:val="9"/>
        <w:numPr>
          <w:ilvl w:val="0"/>
          <w:numId w:val="8"/>
        </w:numPr>
        <w:spacing w:line="240" w:lineRule="auto"/>
        <w:ind w:firstLineChars="0"/>
        <w:rPr>
          <w:rFonts w:ascii="宋体" w:hAnsi="宋体"/>
          <w:b/>
          <w:szCs w:val="24"/>
        </w:rPr>
      </w:pPr>
      <w:r>
        <w:rPr>
          <w:rFonts w:hint="eastAsia" w:ascii="宋体" w:hAnsi="宋体"/>
          <w:b/>
          <w:szCs w:val="24"/>
        </w:rPr>
        <w:t>期货投资交易的一般方法</w:t>
      </w:r>
    </w:p>
    <w:p>
      <w:pPr>
        <w:spacing w:line="240" w:lineRule="auto"/>
        <w:rPr>
          <w:rFonts w:ascii="宋体" w:hAnsi="宋体"/>
          <w:b/>
          <w:szCs w:val="24"/>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第四节 期货套利</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9"/>
        </w:numPr>
        <w:spacing w:line="240" w:lineRule="auto"/>
        <w:ind w:firstLineChars="0"/>
        <w:rPr>
          <w:rFonts w:ascii="宋体" w:hAnsi="宋体"/>
          <w:b/>
          <w:bCs/>
          <w:szCs w:val="24"/>
        </w:rPr>
      </w:pPr>
      <w:r>
        <w:rPr>
          <w:rFonts w:hint="eastAsia" w:ascii="宋体" w:hAnsi="宋体"/>
          <w:b/>
          <w:bCs/>
          <w:szCs w:val="24"/>
        </w:rPr>
        <w:t>期货套利的定义</w:t>
      </w:r>
    </w:p>
    <w:p>
      <w:pPr>
        <w:pStyle w:val="9"/>
        <w:numPr>
          <w:ilvl w:val="0"/>
          <w:numId w:val="9"/>
        </w:numPr>
        <w:spacing w:line="240" w:lineRule="auto"/>
        <w:ind w:firstLineChars="0"/>
        <w:rPr>
          <w:rFonts w:ascii="宋体" w:hAnsi="宋体"/>
          <w:b/>
          <w:bCs/>
          <w:szCs w:val="24"/>
        </w:rPr>
      </w:pPr>
      <w:r>
        <w:rPr>
          <w:rFonts w:hint="eastAsia" w:ascii="宋体" w:hAnsi="宋体"/>
          <w:b/>
          <w:bCs/>
          <w:szCs w:val="24"/>
        </w:rPr>
        <w:t>期货套利的主要形式</w:t>
      </w:r>
    </w:p>
    <w:p>
      <w:pPr>
        <w:pStyle w:val="9"/>
        <w:numPr>
          <w:ilvl w:val="0"/>
          <w:numId w:val="9"/>
        </w:numPr>
        <w:spacing w:line="240" w:lineRule="auto"/>
        <w:ind w:firstLineChars="0"/>
        <w:rPr>
          <w:rFonts w:ascii="宋体" w:hAnsi="宋体"/>
          <w:b/>
          <w:bCs/>
          <w:szCs w:val="24"/>
        </w:rPr>
      </w:pPr>
      <w:r>
        <w:rPr>
          <w:rFonts w:hint="eastAsia" w:ascii="宋体" w:hAnsi="宋体"/>
          <w:b/>
          <w:bCs/>
          <w:szCs w:val="24"/>
        </w:rPr>
        <w:t>套利交易的条件</w:t>
      </w:r>
    </w:p>
    <w:p>
      <w:pPr>
        <w:pStyle w:val="9"/>
        <w:numPr>
          <w:ilvl w:val="0"/>
          <w:numId w:val="9"/>
        </w:numPr>
        <w:spacing w:line="240" w:lineRule="auto"/>
        <w:ind w:firstLineChars="0"/>
        <w:rPr>
          <w:rFonts w:ascii="宋体" w:hAnsi="宋体"/>
          <w:b/>
          <w:bCs/>
          <w:szCs w:val="24"/>
        </w:rPr>
      </w:pPr>
      <w:r>
        <w:rPr>
          <w:rFonts w:hint="eastAsia" w:ascii="宋体" w:hAnsi="宋体"/>
          <w:b/>
          <w:bCs/>
          <w:szCs w:val="24"/>
        </w:rPr>
        <w:t>影响套利效果的主要因素</w:t>
      </w:r>
    </w:p>
    <w:p>
      <w:pPr>
        <w:pStyle w:val="9"/>
        <w:numPr>
          <w:ilvl w:val="0"/>
          <w:numId w:val="9"/>
        </w:numPr>
        <w:spacing w:line="240" w:lineRule="auto"/>
        <w:ind w:firstLineChars="0"/>
        <w:rPr>
          <w:rFonts w:ascii="宋体" w:hAnsi="宋体"/>
          <w:b/>
          <w:bCs/>
          <w:szCs w:val="24"/>
        </w:rPr>
      </w:pPr>
      <w:r>
        <w:rPr>
          <w:rFonts w:hint="eastAsia" w:ascii="宋体" w:hAnsi="宋体"/>
          <w:b/>
          <w:bCs/>
          <w:szCs w:val="24"/>
        </w:rPr>
        <w:t>套利的风险管理</w:t>
      </w:r>
    </w:p>
    <w:p>
      <w:pPr>
        <w:spacing w:line="240" w:lineRule="auto"/>
        <w:rPr>
          <w:rFonts w:ascii="宋体" w:hAnsi="宋体"/>
          <w:b/>
          <w:bCs/>
          <w:szCs w:val="24"/>
        </w:rPr>
      </w:pPr>
    </w:p>
    <w:p>
      <w:pPr>
        <w:spacing w:line="240" w:lineRule="auto"/>
        <w:jc w:val="center"/>
        <w:outlineLvl w:val="1"/>
        <w:rPr>
          <w:rFonts w:ascii="黑体" w:hAnsi="黑体" w:eastAsia="黑体"/>
          <w:b/>
          <w:sz w:val="28"/>
          <w:szCs w:val="28"/>
        </w:rPr>
      </w:pPr>
      <w:r>
        <w:rPr>
          <w:rFonts w:hint="eastAsia" w:ascii="黑体" w:hAnsi="黑体" w:eastAsia="黑体"/>
          <w:b/>
          <w:sz w:val="28"/>
          <w:szCs w:val="28"/>
        </w:rPr>
        <w:t>第五节</w:t>
      </w:r>
      <w:r>
        <w:rPr>
          <w:rFonts w:ascii="黑体" w:hAnsi="黑体" w:eastAsia="黑体"/>
          <w:b/>
          <w:sz w:val="28"/>
          <w:szCs w:val="28"/>
        </w:rPr>
        <w:t xml:space="preserve"> </w:t>
      </w:r>
      <w:r>
        <w:rPr>
          <w:rFonts w:hint="eastAsia" w:ascii="黑体" w:hAnsi="黑体" w:eastAsia="黑体"/>
          <w:b/>
          <w:sz w:val="28"/>
          <w:szCs w:val="28"/>
        </w:rPr>
        <w:t>期权交易策略</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0"/>
        </w:numPr>
        <w:spacing w:line="240" w:lineRule="auto"/>
        <w:ind w:firstLineChars="0"/>
        <w:rPr>
          <w:b/>
        </w:rPr>
      </w:pPr>
      <w:r>
        <w:rPr>
          <w:rFonts w:hint="eastAsia"/>
          <w:b/>
        </w:rPr>
        <w:t>基本交易策略</w:t>
      </w:r>
    </w:p>
    <w:p>
      <w:pPr>
        <w:pStyle w:val="9"/>
        <w:numPr>
          <w:ilvl w:val="0"/>
          <w:numId w:val="10"/>
        </w:numPr>
        <w:spacing w:line="240" w:lineRule="auto"/>
        <w:ind w:firstLineChars="0"/>
        <w:rPr>
          <w:b/>
        </w:rPr>
      </w:pPr>
      <w:r>
        <w:rPr>
          <w:rFonts w:hint="eastAsia"/>
          <w:b/>
        </w:rPr>
        <w:t>价差交易策略</w:t>
      </w:r>
    </w:p>
    <w:p>
      <w:pPr>
        <w:pStyle w:val="9"/>
        <w:numPr>
          <w:ilvl w:val="0"/>
          <w:numId w:val="10"/>
        </w:numPr>
        <w:spacing w:line="240" w:lineRule="auto"/>
        <w:ind w:firstLineChars="0"/>
        <w:rPr>
          <w:b/>
        </w:rPr>
      </w:pPr>
      <w:r>
        <w:rPr>
          <w:rFonts w:hint="eastAsia"/>
          <w:b/>
        </w:rPr>
        <w:t>组合交易策略</w:t>
      </w:r>
    </w:p>
    <w:p>
      <w:pPr>
        <w:spacing w:line="240" w:lineRule="auto"/>
        <w:rPr>
          <w:b/>
        </w:rPr>
      </w:pPr>
    </w:p>
    <w:p>
      <w:pPr>
        <w:spacing w:line="240" w:lineRule="auto"/>
      </w:pPr>
      <w:r>
        <w:rPr>
          <w:rFonts w:hint="eastAsia"/>
          <w:b/>
        </w:rPr>
        <w:t>【重点、难点】</w:t>
      </w:r>
      <w:r>
        <w:rPr>
          <w:rFonts w:hint="eastAsia"/>
        </w:rPr>
        <w:t>基差交易与叫价交易、期权交易策略。</w:t>
      </w:r>
    </w:p>
    <w:p>
      <w:pPr>
        <w:spacing w:line="240" w:lineRule="auto"/>
      </w:pPr>
    </w:p>
    <w:p>
      <w:pPr>
        <w:spacing w:line="240" w:lineRule="auto"/>
      </w:pPr>
    </w:p>
    <w:p>
      <w:pPr>
        <w:spacing w:line="240" w:lineRule="auto"/>
        <w:jc w:val="center"/>
        <w:outlineLvl w:val="0"/>
        <w:rPr>
          <w:rFonts w:ascii="黑体" w:hAnsi="黑体" w:eastAsia="黑体"/>
          <w:b/>
          <w:bCs/>
          <w:sz w:val="30"/>
          <w:szCs w:val="30"/>
        </w:rPr>
      </w:pPr>
      <w:r>
        <w:rPr>
          <w:rFonts w:hint="eastAsia" w:ascii="黑体" w:hAnsi="黑体" w:eastAsia="黑体"/>
          <w:b/>
          <w:bCs/>
          <w:sz w:val="30"/>
          <w:szCs w:val="30"/>
        </w:rPr>
        <w:t>第三章 期货与期权交易机制</w:t>
      </w:r>
    </w:p>
    <w:p>
      <w:pPr>
        <w:spacing w:line="240" w:lineRule="auto"/>
        <w:rPr>
          <w:rFonts w:ascii="宋体" w:hAnsi="宋体"/>
          <w:szCs w:val="21"/>
        </w:rPr>
      </w:pPr>
    </w:p>
    <w:p>
      <w:pPr>
        <w:spacing w:line="240" w:lineRule="auto"/>
        <w:rPr>
          <w:rFonts w:ascii="宋体" w:hAnsi="宋体"/>
          <w:bCs/>
          <w:szCs w:val="24"/>
        </w:rPr>
      </w:pPr>
      <w:r>
        <w:rPr>
          <w:rFonts w:hint="eastAsia" w:ascii="黑体" w:hAnsi="宋体" w:eastAsia="黑体"/>
          <w:bCs/>
          <w:szCs w:val="24"/>
        </w:rPr>
        <w:t>【本章教学目的和要求】：</w:t>
      </w:r>
      <w:r>
        <w:rPr>
          <w:rFonts w:hint="eastAsia" w:ascii="宋体" w:hAnsi="宋体"/>
          <w:bCs/>
          <w:szCs w:val="24"/>
        </w:rPr>
        <w:t>本章是对期货与期权工具中的外汇期货与外汇期权、利率期货与期权、股指期货与期权等工具的总体介绍。通过本章的学习活动，学生应了解各类合约的基本概念、特点及合约概况，理解各类交易的基本原理，在此基础上，掌握各类工具的交易原理及在套期保值和投机中的运用等技巧。</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第一节 外汇期货与外汇期权</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1"/>
        </w:numPr>
        <w:spacing w:line="240" w:lineRule="auto"/>
        <w:ind w:firstLineChars="0"/>
        <w:rPr>
          <w:rFonts w:ascii="宋体" w:hAnsi="宋体"/>
          <w:b/>
          <w:bCs/>
          <w:szCs w:val="24"/>
        </w:rPr>
      </w:pPr>
      <w:r>
        <w:rPr>
          <w:rFonts w:hint="eastAsia" w:ascii="宋体" w:hAnsi="宋体"/>
          <w:b/>
          <w:bCs/>
          <w:szCs w:val="24"/>
        </w:rPr>
        <w:t>外汇期货交易</w:t>
      </w:r>
    </w:p>
    <w:p>
      <w:pPr>
        <w:pStyle w:val="9"/>
        <w:numPr>
          <w:ilvl w:val="0"/>
          <w:numId w:val="11"/>
        </w:numPr>
        <w:spacing w:line="240" w:lineRule="auto"/>
        <w:ind w:firstLineChars="0"/>
        <w:rPr>
          <w:rFonts w:ascii="宋体" w:hAnsi="宋体"/>
          <w:b/>
          <w:bCs/>
          <w:szCs w:val="24"/>
        </w:rPr>
      </w:pPr>
      <w:r>
        <w:rPr>
          <w:rFonts w:hint="eastAsia" w:ascii="宋体" w:hAnsi="宋体"/>
          <w:b/>
          <w:bCs/>
          <w:szCs w:val="24"/>
        </w:rPr>
        <w:t>外汇期权交易</w:t>
      </w:r>
    </w:p>
    <w:p>
      <w:pPr>
        <w:pStyle w:val="9"/>
        <w:numPr>
          <w:ilvl w:val="0"/>
          <w:numId w:val="11"/>
        </w:numPr>
        <w:spacing w:line="240" w:lineRule="auto"/>
        <w:ind w:firstLineChars="0"/>
        <w:rPr>
          <w:rFonts w:ascii="宋体" w:hAnsi="宋体"/>
          <w:b/>
          <w:bCs/>
          <w:szCs w:val="24"/>
        </w:rPr>
      </w:pPr>
      <w:r>
        <w:rPr>
          <w:rFonts w:hint="eastAsia" w:ascii="宋体" w:hAnsi="宋体"/>
          <w:b/>
          <w:bCs/>
          <w:szCs w:val="24"/>
        </w:rPr>
        <w:t>远期合约概述</w:t>
      </w:r>
    </w:p>
    <w:p>
      <w:pPr>
        <w:pStyle w:val="9"/>
        <w:spacing w:line="240" w:lineRule="auto"/>
        <w:ind w:left="420" w:firstLine="0" w:firstLineChars="0"/>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第二节 利率期货与利率期权</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利率期货</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利率期货交易保值</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利率期货的定价</w:t>
      </w:r>
    </w:p>
    <w:p>
      <w:pPr>
        <w:pStyle w:val="9"/>
        <w:numPr>
          <w:ilvl w:val="0"/>
          <w:numId w:val="12"/>
        </w:numPr>
        <w:spacing w:line="240" w:lineRule="auto"/>
        <w:ind w:firstLineChars="0"/>
        <w:rPr>
          <w:rFonts w:ascii="宋体" w:hAnsi="宋体"/>
          <w:b/>
          <w:bCs/>
          <w:szCs w:val="24"/>
        </w:rPr>
      </w:pPr>
      <w:r>
        <w:rPr>
          <w:rFonts w:hint="eastAsia" w:ascii="宋体" w:hAnsi="宋体"/>
          <w:b/>
          <w:bCs/>
          <w:szCs w:val="24"/>
        </w:rPr>
        <w:t>利率期权</w:t>
      </w:r>
    </w:p>
    <w:p>
      <w:pPr>
        <w:pStyle w:val="9"/>
        <w:numPr>
          <w:ilvl w:val="0"/>
          <w:numId w:val="12"/>
        </w:numPr>
        <w:spacing w:line="240" w:lineRule="auto"/>
        <w:ind w:firstLineChars="0"/>
        <w:rPr>
          <w:rFonts w:ascii="宋体" w:hAnsi="宋体"/>
          <w:b/>
          <w:bCs/>
          <w:szCs w:val="24"/>
        </w:rPr>
      </w:pPr>
      <w:r>
        <w:rPr>
          <w:rFonts w:hint="eastAsia" w:ascii="宋体" w:hAnsi="宋体"/>
          <w:b/>
          <w:bCs/>
          <w:szCs w:val="24"/>
        </w:rPr>
        <w:t>远期利率协议</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第三节 股指期货与股指期权</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3"/>
        </w:numPr>
        <w:spacing w:line="240" w:lineRule="auto"/>
        <w:ind w:firstLineChars="0"/>
        <w:rPr>
          <w:rFonts w:ascii="宋体" w:hAnsi="宋体"/>
          <w:bCs/>
          <w:szCs w:val="24"/>
        </w:rPr>
      </w:pPr>
      <w:r>
        <w:rPr>
          <w:rFonts w:hint="eastAsia" w:ascii="宋体" w:hAnsi="宋体"/>
          <w:bCs/>
          <w:szCs w:val="24"/>
        </w:rPr>
        <w:t>股票指数期货</w:t>
      </w:r>
    </w:p>
    <w:p>
      <w:pPr>
        <w:pStyle w:val="9"/>
        <w:numPr>
          <w:ilvl w:val="0"/>
          <w:numId w:val="13"/>
        </w:numPr>
        <w:spacing w:line="240" w:lineRule="auto"/>
        <w:ind w:firstLineChars="0"/>
        <w:rPr>
          <w:rFonts w:ascii="宋体" w:hAnsi="宋体"/>
          <w:bCs/>
          <w:szCs w:val="24"/>
        </w:rPr>
      </w:pPr>
      <w:r>
        <w:rPr>
          <w:rFonts w:hint="eastAsia" w:ascii="宋体" w:hAnsi="宋体"/>
          <w:bCs/>
          <w:szCs w:val="24"/>
        </w:rPr>
        <w:t>股票价格指数期权</w:t>
      </w:r>
    </w:p>
    <w:p>
      <w:pPr>
        <w:spacing w:line="240" w:lineRule="auto"/>
        <w:rPr>
          <w:rFonts w:ascii="宋体" w:hAnsi="宋体"/>
          <w:bCs/>
          <w:szCs w:val="24"/>
        </w:rPr>
      </w:pPr>
    </w:p>
    <w:p>
      <w:pPr>
        <w:spacing w:line="240" w:lineRule="auto"/>
        <w:rPr>
          <w:rFonts w:ascii="宋体" w:hAnsi="宋体"/>
          <w:bCs/>
          <w:szCs w:val="24"/>
        </w:rPr>
      </w:pPr>
      <w:r>
        <w:rPr>
          <w:rFonts w:hint="eastAsia"/>
          <w:b/>
        </w:rPr>
        <w:t>【重点、难点】</w:t>
      </w:r>
      <w:r>
        <w:rPr>
          <w:rFonts w:hint="eastAsia" w:ascii="宋体" w:hAnsi="宋体"/>
          <w:bCs/>
          <w:szCs w:val="24"/>
        </w:rPr>
        <w:t>外汇期货与外汇期权、利率期货与利率期权和利率期货与利率期权。</w:t>
      </w:r>
    </w:p>
    <w:p>
      <w:pPr>
        <w:spacing w:line="240" w:lineRule="auto"/>
        <w:rPr>
          <w:rFonts w:ascii="宋体" w:hAnsi="宋体"/>
          <w:bCs/>
          <w:szCs w:val="24"/>
        </w:rPr>
      </w:pPr>
    </w:p>
    <w:p>
      <w:pPr>
        <w:spacing w:line="240" w:lineRule="auto"/>
        <w:jc w:val="center"/>
        <w:outlineLvl w:val="0"/>
        <w:rPr>
          <w:rFonts w:ascii="黑体" w:hAnsi="黑体" w:eastAsia="黑体"/>
          <w:b/>
          <w:bCs/>
          <w:sz w:val="30"/>
          <w:szCs w:val="30"/>
        </w:rPr>
      </w:pPr>
      <w:r>
        <w:rPr>
          <w:rFonts w:hint="eastAsia" w:ascii="黑体" w:hAnsi="黑体" w:eastAsia="黑体"/>
          <w:b/>
          <w:bCs/>
          <w:sz w:val="30"/>
          <w:szCs w:val="30"/>
        </w:rPr>
        <w:t>第四章 期货期权与风险管理</w:t>
      </w:r>
    </w:p>
    <w:p>
      <w:pPr>
        <w:spacing w:line="240" w:lineRule="auto"/>
        <w:rPr>
          <w:rFonts w:ascii="宋体" w:hAnsi="宋体"/>
          <w:bCs/>
          <w:szCs w:val="24"/>
        </w:rPr>
      </w:pPr>
    </w:p>
    <w:p>
      <w:pPr>
        <w:pStyle w:val="2"/>
        <w:spacing w:after="0" w:line="240" w:lineRule="auto"/>
      </w:pPr>
      <w:r>
        <w:rPr>
          <w:rFonts w:hint="eastAsia" w:ascii="黑体" w:hAnsi="宋体" w:eastAsia="黑体"/>
          <w:bCs/>
          <w:szCs w:val="24"/>
        </w:rPr>
        <w:t>【本章教学目的和要求】：</w:t>
      </w:r>
      <w:r>
        <w:rPr>
          <w:rFonts w:hint="eastAsia"/>
        </w:rPr>
        <w:t>本章主要介绍商品价格风险管理问题；股票投资风险的管理问题; 外汇风险管理问题; 利率风险的管理问题。通过本章学习：1、学生应全面了解商品价格风险概况，理解商品价格风险管理的基本原理，在此基础上，掌握期货、期权及互换交易在商品价格风险管理中的应用。2、学生应全面了解股票风险概况，掌握股票风险管理的主要金融工具及其应用，并初步了解其他金融工具在股票风险管理中的应用。3、学生应全面了解外汇风险概况，理解外汇风险管理的基本原理，在此基础上，掌握远运用期的金融工具、期货工具及期权工具及其综合配置进行外汇风险管理。4、学生应全面了解利率风险概况，理解利率风险管理的基本原理，在此基础上，掌握远期的金融工具配置的利率风险管理、期货的金融工具配置的利率风险管理及期权的金融工具配置的利率风险管理。在课堂讲述的同时，可以结合案例就如何管理利率风险展开讨论。</w:t>
      </w:r>
    </w:p>
    <w:p>
      <w:pPr>
        <w:pStyle w:val="2"/>
        <w:spacing w:after="0" w:line="240" w:lineRule="auto"/>
      </w:pPr>
    </w:p>
    <w:p>
      <w:pPr>
        <w:spacing w:line="240" w:lineRule="auto"/>
        <w:jc w:val="center"/>
        <w:outlineLvl w:val="0"/>
        <w:rPr>
          <w:rFonts w:ascii="黑体" w:hAnsi="黑体" w:eastAsia="黑体"/>
          <w:b/>
          <w:bCs/>
          <w:sz w:val="28"/>
          <w:szCs w:val="28"/>
        </w:rPr>
      </w:pPr>
      <w:r>
        <w:rPr>
          <w:rFonts w:hint="eastAsia" w:ascii="黑体" w:hAnsi="黑体" w:eastAsia="黑体"/>
          <w:b/>
          <w:bCs/>
          <w:sz w:val="28"/>
          <w:szCs w:val="28"/>
        </w:rPr>
        <w:t>第一节 商品价格风险管理</w:t>
      </w:r>
    </w:p>
    <w:p>
      <w:pPr>
        <w:spacing w:line="240" w:lineRule="auto"/>
        <w:rPr>
          <w:rFonts w:ascii="黑体" w:hAnsi="宋体" w:eastAsia="黑体"/>
          <w:bCs/>
          <w:szCs w:val="24"/>
        </w:rPr>
      </w:pPr>
      <w:r>
        <w:rPr>
          <w:rFonts w:hint="eastAsia" w:ascii="黑体" w:hAnsi="宋体" w:eastAsia="黑体"/>
          <w:bCs/>
          <w:szCs w:val="24"/>
        </w:rPr>
        <w:t>【教学内容】</w:t>
      </w:r>
    </w:p>
    <w:p>
      <w:pPr>
        <w:pStyle w:val="9"/>
        <w:numPr>
          <w:ilvl w:val="0"/>
          <w:numId w:val="14"/>
        </w:numPr>
        <w:spacing w:line="240" w:lineRule="auto"/>
        <w:ind w:firstLineChars="0"/>
        <w:rPr>
          <w:rFonts w:ascii="宋体" w:hAnsi="宋体"/>
          <w:b/>
          <w:bCs/>
          <w:szCs w:val="24"/>
        </w:rPr>
      </w:pPr>
      <w:r>
        <w:rPr>
          <w:rFonts w:hint="eastAsia" w:ascii="宋体" w:hAnsi="宋体"/>
          <w:b/>
          <w:bCs/>
          <w:szCs w:val="24"/>
        </w:rPr>
        <w:t>商品价格风险</w:t>
      </w:r>
    </w:p>
    <w:p>
      <w:pPr>
        <w:pStyle w:val="9"/>
        <w:numPr>
          <w:ilvl w:val="0"/>
          <w:numId w:val="14"/>
        </w:numPr>
        <w:spacing w:line="240" w:lineRule="auto"/>
        <w:ind w:firstLineChars="0"/>
        <w:rPr>
          <w:rFonts w:ascii="宋体" w:hAnsi="宋体"/>
          <w:b/>
          <w:bCs/>
          <w:szCs w:val="24"/>
        </w:rPr>
      </w:pPr>
      <w:r>
        <w:rPr>
          <w:rFonts w:hint="eastAsia" w:ascii="宋体" w:hAnsi="宋体"/>
          <w:b/>
          <w:bCs/>
          <w:szCs w:val="24"/>
        </w:rPr>
        <w:t>商品价格风险管理常用的金融工具</w:t>
      </w:r>
    </w:p>
    <w:p>
      <w:pPr>
        <w:pStyle w:val="9"/>
        <w:numPr>
          <w:ilvl w:val="0"/>
          <w:numId w:val="14"/>
        </w:numPr>
        <w:spacing w:line="240" w:lineRule="auto"/>
        <w:ind w:firstLineChars="0"/>
        <w:rPr>
          <w:rFonts w:ascii="宋体" w:hAnsi="宋体"/>
          <w:b/>
          <w:bCs/>
          <w:szCs w:val="24"/>
        </w:rPr>
      </w:pPr>
      <w:r>
        <w:rPr>
          <w:rFonts w:hint="eastAsia" w:ascii="宋体" w:hAnsi="宋体"/>
          <w:b/>
          <w:bCs/>
          <w:szCs w:val="24"/>
        </w:rPr>
        <w:t>商品期货、期权、互换与商品价格风险管理</w:t>
      </w:r>
    </w:p>
    <w:p>
      <w:pPr>
        <w:pStyle w:val="9"/>
        <w:spacing w:line="240" w:lineRule="auto"/>
        <w:ind w:firstLine="0" w:firstLineChars="0"/>
        <w:rPr>
          <w:rFonts w:ascii="宋体" w:hAnsi="宋体"/>
          <w:b/>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第二节 股票投资风险管理</w:t>
      </w:r>
    </w:p>
    <w:p>
      <w:pPr>
        <w:spacing w:line="240" w:lineRule="auto"/>
        <w:rPr>
          <w:rFonts w:ascii="黑体" w:hAnsi="宋体" w:eastAsia="黑体"/>
          <w:bCs/>
          <w:szCs w:val="24"/>
        </w:rPr>
      </w:pPr>
      <w:r>
        <w:rPr>
          <w:rFonts w:hint="eastAsia" w:ascii="黑体" w:hAnsi="宋体" w:eastAsia="黑体"/>
          <w:bCs/>
          <w:szCs w:val="24"/>
        </w:rPr>
        <w:t>【教学内容】</w:t>
      </w:r>
    </w:p>
    <w:p>
      <w:pPr>
        <w:pStyle w:val="9"/>
        <w:spacing w:line="240" w:lineRule="auto"/>
        <w:ind w:firstLine="0" w:firstLineChars="0"/>
        <w:rPr>
          <w:rFonts w:ascii="宋体" w:hAnsi="宋体"/>
          <w:b/>
          <w:bCs/>
          <w:szCs w:val="24"/>
        </w:rPr>
      </w:pPr>
      <w:r>
        <w:rPr>
          <w:rFonts w:hint="eastAsia" w:ascii="宋体" w:hAnsi="宋体"/>
          <w:b/>
          <w:bCs/>
          <w:szCs w:val="24"/>
        </w:rPr>
        <w:t>一、股票投资风险</w:t>
      </w:r>
    </w:p>
    <w:p>
      <w:pPr>
        <w:pStyle w:val="9"/>
        <w:numPr>
          <w:ilvl w:val="1"/>
          <w:numId w:val="15"/>
        </w:numPr>
        <w:spacing w:line="240" w:lineRule="auto"/>
        <w:ind w:left="431" w:hanging="431" w:firstLineChars="0"/>
        <w:jc w:val="left"/>
        <w:rPr>
          <w:rFonts w:ascii="宋体" w:hAnsi="宋体"/>
          <w:bCs/>
          <w:szCs w:val="24"/>
        </w:rPr>
      </w:pPr>
      <w:r>
        <w:rPr>
          <w:rFonts w:hint="eastAsia" w:ascii="宋体" w:hAnsi="宋体"/>
          <w:b/>
          <w:bCs/>
          <w:szCs w:val="24"/>
        </w:rPr>
        <w:t>期货类金融工具与股票风险管理</w:t>
      </w:r>
    </w:p>
    <w:p>
      <w:pPr>
        <w:pStyle w:val="9"/>
        <w:numPr>
          <w:ilvl w:val="1"/>
          <w:numId w:val="15"/>
        </w:numPr>
        <w:spacing w:line="240" w:lineRule="auto"/>
        <w:ind w:left="431" w:hanging="431" w:firstLineChars="0"/>
        <w:jc w:val="left"/>
        <w:rPr>
          <w:rFonts w:ascii="宋体" w:hAnsi="宋体"/>
          <w:bCs/>
          <w:szCs w:val="24"/>
        </w:rPr>
      </w:pPr>
      <w:r>
        <w:rPr>
          <w:rFonts w:hint="eastAsia" w:ascii="宋体" w:hAnsi="宋体"/>
          <w:b/>
          <w:bCs/>
          <w:szCs w:val="24"/>
        </w:rPr>
        <w:t>期权类金融工具与股票风险管理</w:t>
      </w:r>
    </w:p>
    <w:p>
      <w:pPr>
        <w:pStyle w:val="9"/>
        <w:numPr>
          <w:ilvl w:val="1"/>
          <w:numId w:val="15"/>
        </w:numPr>
        <w:spacing w:line="240" w:lineRule="auto"/>
        <w:ind w:left="431" w:hanging="431" w:firstLineChars="0"/>
        <w:jc w:val="left"/>
        <w:rPr>
          <w:rFonts w:ascii="宋体" w:hAnsi="宋体"/>
          <w:bCs/>
          <w:szCs w:val="24"/>
        </w:rPr>
      </w:pPr>
      <w:r>
        <w:rPr>
          <w:rFonts w:hint="eastAsia" w:ascii="宋体" w:hAnsi="宋体"/>
          <w:b/>
          <w:bCs/>
          <w:szCs w:val="24"/>
        </w:rPr>
        <w:t>其他金融工具与股票风险管理</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第三节 外汇风险管理</w:t>
      </w:r>
    </w:p>
    <w:p>
      <w:pPr>
        <w:spacing w:line="240" w:lineRule="auto"/>
        <w:rPr>
          <w:rFonts w:ascii="宋体" w:hAnsi="宋体"/>
          <w:b/>
          <w:bCs/>
          <w:szCs w:val="24"/>
        </w:rPr>
      </w:pPr>
      <w:r>
        <w:rPr>
          <w:rFonts w:hint="eastAsia" w:ascii="宋体" w:hAnsi="宋体"/>
          <w:b/>
          <w:bCs/>
          <w:szCs w:val="24"/>
        </w:rPr>
        <w:t>【教学内容】</w:t>
      </w:r>
    </w:p>
    <w:p>
      <w:pPr>
        <w:spacing w:line="240" w:lineRule="auto"/>
        <w:rPr>
          <w:rFonts w:ascii="宋体" w:hAnsi="宋体"/>
          <w:b/>
          <w:szCs w:val="24"/>
        </w:rPr>
      </w:pPr>
      <w:r>
        <w:rPr>
          <w:rFonts w:hint="eastAsia" w:ascii="宋体" w:hAnsi="宋体"/>
          <w:b/>
          <w:szCs w:val="24"/>
        </w:rPr>
        <w:t>一、外汇风险</w:t>
      </w:r>
    </w:p>
    <w:p>
      <w:pPr>
        <w:spacing w:line="240" w:lineRule="auto"/>
        <w:rPr>
          <w:rFonts w:ascii="宋体" w:hAnsi="宋体"/>
          <w:b/>
          <w:szCs w:val="24"/>
        </w:rPr>
      </w:pPr>
      <w:r>
        <w:rPr>
          <w:rFonts w:hint="eastAsia" w:ascii="宋体" w:hAnsi="宋体"/>
          <w:b/>
          <w:szCs w:val="24"/>
        </w:rPr>
        <w:t>二、远期金融工具与外汇风险管理</w:t>
      </w:r>
    </w:p>
    <w:p>
      <w:pPr>
        <w:spacing w:line="240" w:lineRule="auto"/>
        <w:rPr>
          <w:rFonts w:ascii="宋体" w:hAnsi="宋体"/>
          <w:b/>
          <w:szCs w:val="24"/>
        </w:rPr>
      </w:pPr>
      <w:r>
        <w:rPr>
          <w:rFonts w:hint="eastAsia" w:ascii="宋体" w:hAnsi="宋体"/>
          <w:b/>
          <w:szCs w:val="24"/>
        </w:rPr>
        <w:t>三、期货工具与外汇风险管理</w:t>
      </w:r>
    </w:p>
    <w:p>
      <w:pPr>
        <w:spacing w:line="240" w:lineRule="auto"/>
        <w:rPr>
          <w:rFonts w:ascii="宋体" w:hAnsi="宋体"/>
          <w:b/>
          <w:szCs w:val="24"/>
        </w:rPr>
      </w:pPr>
      <w:r>
        <w:rPr>
          <w:rFonts w:hint="eastAsia" w:ascii="宋体" w:hAnsi="宋体"/>
          <w:b/>
          <w:szCs w:val="24"/>
        </w:rPr>
        <w:t>四、期权工具与外汇风险管理</w:t>
      </w:r>
    </w:p>
    <w:p>
      <w:pPr>
        <w:spacing w:line="240" w:lineRule="auto"/>
        <w:rPr>
          <w:rFonts w:ascii="宋体" w:hAnsi="宋体"/>
          <w:bCs/>
          <w:szCs w:val="24"/>
        </w:rPr>
      </w:pPr>
    </w:p>
    <w:p>
      <w:pPr>
        <w:spacing w:line="240" w:lineRule="auto"/>
        <w:jc w:val="center"/>
        <w:outlineLvl w:val="1"/>
        <w:rPr>
          <w:rFonts w:ascii="黑体" w:hAnsi="黑体" w:eastAsia="黑体"/>
          <w:b/>
          <w:bCs/>
          <w:sz w:val="28"/>
          <w:szCs w:val="28"/>
        </w:rPr>
      </w:pPr>
      <w:r>
        <w:rPr>
          <w:rFonts w:hint="eastAsia" w:ascii="黑体" w:hAnsi="黑体" w:eastAsia="黑体"/>
          <w:b/>
          <w:bCs/>
          <w:sz w:val="28"/>
          <w:szCs w:val="28"/>
        </w:rPr>
        <w:t>第四节 利率风险管理</w:t>
      </w:r>
    </w:p>
    <w:p>
      <w:pPr>
        <w:spacing w:line="240" w:lineRule="auto"/>
        <w:rPr>
          <w:rFonts w:ascii="宋体" w:hAnsi="宋体"/>
          <w:b/>
          <w:bCs/>
          <w:szCs w:val="24"/>
        </w:rPr>
      </w:pPr>
      <w:r>
        <w:rPr>
          <w:rFonts w:hint="eastAsia" w:ascii="宋体" w:hAnsi="宋体"/>
          <w:b/>
          <w:bCs/>
          <w:szCs w:val="24"/>
        </w:rPr>
        <w:t>【教学内容】</w:t>
      </w:r>
    </w:p>
    <w:p>
      <w:pPr>
        <w:pStyle w:val="9"/>
        <w:numPr>
          <w:ilvl w:val="0"/>
          <w:numId w:val="16"/>
        </w:numPr>
        <w:spacing w:line="240" w:lineRule="auto"/>
        <w:ind w:firstLineChars="0"/>
        <w:rPr>
          <w:rFonts w:ascii="宋体" w:hAnsi="宋体"/>
          <w:b/>
          <w:szCs w:val="24"/>
        </w:rPr>
      </w:pPr>
      <w:r>
        <w:rPr>
          <w:rFonts w:hint="eastAsia" w:ascii="宋体" w:hAnsi="宋体"/>
          <w:b/>
          <w:szCs w:val="24"/>
        </w:rPr>
        <w:t>利率风险</w:t>
      </w:r>
    </w:p>
    <w:p>
      <w:pPr>
        <w:pStyle w:val="9"/>
        <w:numPr>
          <w:ilvl w:val="0"/>
          <w:numId w:val="16"/>
        </w:numPr>
        <w:spacing w:line="240" w:lineRule="auto"/>
        <w:ind w:firstLineChars="0"/>
        <w:rPr>
          <w:rFonts w:ascii="宋体" w:hAnsi="宋体"/>
          <w:b/>
          <w:szCs w:val="24"/>
        </w:rPr>
      </w:pPr>
      <w:r>
        <w:rPr>
          <w:rFonts w:hint="eastAsia" w:ascii="宋体" w:hAnsi="宋体"/>
          <w:b/>
          <w:szCs w:val="24"/>
        </w:rPr>
        <w:t>利率风险管理常用的金融工具及其应用</w:t>
      </w:r>
    </w:p>
    <w:p>
      <w:pPr>
        <w:spacing w:line="240" w:lineRule="auto"/>
        <w:rPr>
          <w:rFonts w:ascii="宋体" w:hAnsi="宋体"/>
          <w:bCs/>
          <w:szCs w:val="24"/>
        </w:rPr>
      </w:pPr>
    </w:p>
    <w:p>
      <w:pPr>
        <w:pStyle w:val="2"/>
        <w:spacing w:after="0" w:line="240" w:lineRule="auto"/>
        <w:rPr>
          <w:rFonts w:eastAsia="黑体"/>
          <w:bCs/>
        </w:rPr>
      </w:pPr>
      <w:r>
        <w:rPr>
          <w:rFonts w:hint="eastAsia"/>
          <w:b/>
        </w:rPr>
        <w:t>【重点、难点】</w:t>
      </w:r>
      <w:r>
        <w:rPr>
          <w:rFonts w:hint="eastAsia"/>
        </w:rPr>
        <w:t>掌握期货的定义，主要期货品种以及期货的交易。</w:t>
      </w:r>
    </w:p>
    <w:p>
      <w:pPr>
        <w:adjustRightInd/>
        <w:spacing w:line="240" w:lineRule="auto"/>
        <w:textAlignment w:val="auto"/>
        <w:rPr>
          <w:rFonts w:ascii="宋体" w:hAnsi="宋体"/>
          <w:b/>
          <w:szCs w:val="21"/>
        </w:rPr>
      </w:pP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0931701"/>
      <w:docPartObj>
        <w:docPartGallery w:val="AutoText"/>
      </w:docPartObj>
    </w:sdtPr>
    <w:sdtContent>
      <w:p>
        <w:pPr>
          <w:pStyle w:val="3"/>
          <w:jc w:val="center"/>
        </w:pPr>
        <w:r>
          <w:fldChar w:fldCharType="begin"/>
        </w:r>
        <w:r>
          <w:instrText xml:space="preserve">PAGE   \* MERGEFORMAT</w:instrText>
        </w:r>
        <w:r>
          <w:fldChar w:fldCharType="separate"/>
        </w:r>
        <w:r>
          <w:rPr>
            <w:lang w:val="zh-CN"/>
          </w:rPr>
          <w:t>12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73D1"/>
    <w:multiLevelType w:val="multilevel"/>
    <w:tmpl w:val="058873D1"/>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9E3FCD"/>
    <w:multiLevelType w:val="multilevel"/>
    <w:tmpl w:val="059E3FCD"/>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3F0CDD"/>
    <w:multiLevelType w:val="multilevel"/>
    <w:tmpl w:val="083F0CDD"/>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AFD4A19"/>
    <w:multiLevelType w:val="multilevel"/>
    <w:tmpl w:val="0AFD4A19"/>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B86521F"/>
    <w:multiLevelType w:val="multilevel"/>
    <w:tmpl w:val="0B86521F"/>
    <w:lvl w:ilvl="0" w:tentative="0">
      <w:start w:val="1"/>
      <w:numFmt w:val="none"/>
      <w:lvlText w:val="一、"/>
      <w:lvlJc w:val="left"/>
      <w:pPr>
        <w:ind w:left="440" w:hanging="440"/>
      </w:pPr>
      <w:rPr>
        <w:rFonts w:hint="default"/>
      </w:rPr>
    </w:lvl>
    <w:lvl w:ilvl="1" w:tentative="0">
      <w:start w:val="2"/>
      <w:numFmt w:val="japaneseCounting"/>
      <w:lvlText w:val="%2、"/>
      <w:lvlJc w:val="left"/>
      <w:pPr>
        <w:ind w:left="860" w:hanging="44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4B050A3"/>
    <w:multiLevelType w:val="multilevel"/>
    <w:tmpl w:val="14B050A3"/>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AE31F54"/>
    <w:multiLevelType w:val="multilevel"/>
    <w:tmpl w:val="1AE31F54"/>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F780304"/>
    <w:multiLevelType w:val="multilevel"/>
    <w:tmpl w:val="1F780304"/>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7F453D"/>
    <w:multiLevelType w:val="multilevel"/>
    <w:tmpl w:val="2C7F453D"/>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0025FDD"/>
    <w:multiLevelType w:val="multilevel"/>
    <w:tmpl w:val="40025FDD"/>
    <w:lvl w:ilvl="0" w:tentative="0">
      <w:start w:val="1"/>
      <w:numFmt w:val="chineseCountingThousand"/>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2E877B6"/>
    <w:multiLevelType w:val="multilevel"/>
    <w:tmpl w:val="42E877B6"/>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801883"/>
    <w:multiLevelType w:val="multilevel"/>
    <w:tmpl w:val="4F801883"/>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97D30A2"/>
    <w:multiLevelType w:val="multilevel"/>
    <w:tmpl w:val="697D30A2"/>
    <w:lvl w:ilvl="0" w:tentative="0">
      <w:start w:val="1"/>
      <w:numFmt w:val="chineseCountingThousand"/>
      <w:suff w:val="space"/>
      <w:lvlText w:val="%1、"/>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F655818"/>
    <w:multiLevelType w:val="multilevel"/>
    <w:tmpl w:val="6F655818"/>
    <w:lvl w:ilvl="0" w:tentative="0">
      <w:start w:val="1"/>
      <w:numFmt w:val="japaneseCounting"/>
      <w:lvlText w:val="（%1）"/>
      <w:lvlJc w:val="left"/>
      <w:pPr>
        <w:ind w:left="1140" w:hanging="720"/>
      </w:pPr>
      <w:rPr>
        <w:rFonts w:hint="default"/>
      </w:rPr>
    </w:lvl>
    <w:lvl w:ilvl="1" w:tentative="0">
      <w:start w:val="2"/>
      <w:numFmt w:val="japaneseCounting"/>
      <w:lvlText w:val="%2、"/>
      <w:lvlJc w:val="left"/>
      <w:pPr>
        <w:ind w:left="1272" w:hanging="432"/>
      </w:pPr>
      <w:rPr>
        <w:rFonts w:hint="default"/>
        <w:b/>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73525323"/>
    <w:multiLevelType w:val="multilevel"/>
    <w:tmpl w:val="735253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E334792"/>
    <w:multiLevelType w:val="multilevel"/>
    <w:tmpl w:val="7E334792"/>
    <w:lvl w:ilvl="0" w:tentative="0">
      <w:start w:val="1"/>
      <w:numFmt w:val="japaneseCounting"/>
      <w:suff w:val="space"/>
      <w:lvlText w:val="%1、"/>
      <w:lvlJc w:val="left"/>
      <w:pPr>
        <w:ind w:left="0" w:firstLine="0"/>
      </w:pPr>
      <w:rPr>
        <w:rFonts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2"/>
  </w:num>
  <w:num w:numId="3">
    <w:abstractNumId w:val="12"/>
  </w:num>
  <w:num w:numId="4">
    <w:abstractNumId w:val="6"/>
  </w:num>
  <w:num w:numId="5">
    <w:abstractNumId w:val="4"/>
  </w:num>
  <w:num w:numId="6">
    <w:abstractNumId w:val="15"/>
  </w:num>
  <w:num w:numId="7">
    <w:abstractNumId w:val="1"/>
  </w:num>
  <w:num w:numId="8">
    <w:abstractNumId w:val="0"/>
  </w:num>
  <w:num w:numId="9">
    <w:abstractNumId w:val="5"/>
  </w:num>
  <w:num w:numId="10">
    <w:abstractNumId w:val="11"/>
  </w:num>
  <w:num w:numId="11">
    <w:abstractNumId w:val="7"/>
  </w:num>
  <w:num w:numId="12">
    <w:abstractNumId w:val="8"/>
  </w:num>
  <w:num w:numId="13">
    <w:abstractNumId w:val="3"/>
  </w:num>
  <w:num w:numId="14">
    <w:abstractNumId w:val="9"/>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00B"/>
    <w:rsid w:val="00037FB6"/>
    <w:rsid w:val="0004242C"/>
    <w:rsid w:val="00057064"/>
    <w:rsid w:val="0009096C"/>
    <w:rsid w:val="00091ADD"/>
    <w:rsid w:val="000A124D"/>
    <w:rsid w:val="000A2821"/>
    <w:rsid w:val="000A38FC"/>
    <w:rsid w:val="000B055A"/>
    <w:rsid w:val="000C6DF8"/>
    <w:rsid w:val="000E601D"/>
    <w:rsid w:val="000E7BD2"/>
    <w:rsid w:val="000F379C"/>
    <w:rsid w:val="00107668"/>
    <w:rsid w:val="0013489F"/>
    <w:rsid w:val="001376A4"/>
    <w:rsid w:val="0016022C"/>
    <w:rsid w:val="00160CBE"/>
    <w:rsid w:val="001706EB"/>
    <w:rsid w:val="00176B06"/>
    <w:rsid w:val="001E10FF"/>
    <w:rsid w:val="001F2AE2"/>
    <w:rsid w:val="001F2B61"/>
    <w:rsid w:val="00203612"/>
    <w:rsid w:val="00212F3E"/>
    <w:rsid w:val="00214103"/>
    <w:rsid w:val="00216FD8"/>
    <w:rsid w:val="002179B6"/>
    <w:rsid w:val="0023302B"/>
    <w:rsid w:val="00251691"/>
    <w:rsid w:val="002A0C3D"/>
    <w:rsid w:val="002A4920"/>
    <w:rsid w:val="002A676C"/>
    <w:rsid w:val="002A6D17"/>
    <w:rsid w:val="002B26E1"/>
    <w:rsid w:val="002C5C9F"/>
    <w:rsid w:val="002C6C40"/>
    <w:rsid w:val="002D0B2C"/>
    <w:rsid w:val="002F4AB6"/>
    <w:rsid w:val="00313BEE"/>
    <w:rsid w:val="00317042"/>
    <w:rsid w:val="00361EBE"/>
    <w:rsid w:val="00362D75"/>
    <w:rsid w:val="003E71C3"/>
    <w:rsid w:val="004139FA"/>
    <w:rsid w:val="00427837"/>
    <w:rsid w:val="00440091"/>
    <w:rsid w:val="00442752"/>
    <w:rsid w:val="00466EBB"/>
    <w:rsid w:val="00483B33"/>
    <w:rsid w:val="004973C3"/>
    <w:rsid w:val="00497A7B"/>
    <w:rsid w:val="004A28FF"/>
    <w:rsid w:val="004D777F"/>
    <w:rsid w:val="005107EA"/>
    <w:rsid w:val="005530BF"/>
    <w:rsid w:val="00570C77"/>
    <w:rsid w:val="00571D4F"/>
    <w:rsid w:val="00571D52"/>
    <w:rsid w:val="00583640"/>
    <w:rsid w:val="005856F6"/>
    <w:rsid w:val="005B4A19"/>
    <w:rsid w:val="005B5D47"/>
    <w:rsid w:val="005C0625"/>
    <w:rsid w:val="005C15B1"/>
    <w:rsid w:val="005C3EE9"/>
    <w:rsid w:val="005D19AD"/>
    <w:rsid w:val="005D5E10"/>
    <w:rsid w:val="005D6B7C"/>
    <w:rsid w:val="005E3549"/>
    <w:rsid w:val="005F1A13"/>
    <w:rsid w:val="005F3F39"/>
    <w:rsid w:val="006330C5"/>
    <w:rsid w:val="00650874"/>
    <w:rsid w:val="00652026"/>
    <w:rsid w:val="006573B9"/>
    <w:rsid w:val="0066575A"/>
    <w:rsid w:val="00667298"/>
    <w:rsid w:val="00673022"/>
    <w:rsid w:val="00675AAC"/>
    <w:rsid w:val="00682851"/>
    <w:rsid w:val="006927B7"/>
    <w:rsid w:val="006B7C92"/>
    <w:rsid w:val="006D6096"/>
    <w:rsid w:val="006E22B5"/>
    <w:rsid w:val="006E2486"/>
    <w:rsid w:val="006E66CA"/>
    <w:rsid w:val="00705641"/>
    <w:rsid w:val="007B4BE7"/>
    <w:rsid w:val="007C17A4"/>
    <w:rsid w:val="007C567E"/>
    <w:rsid w:val="007D703E"/>
    <w:rsid w:val="0080398B"/>
    <w:rsid w:val="00841D8A"/>
    <w:rsid w:val="00841F3F"/>
    <w:rsid w:val="008574E9"/>
    <w:rsid w:val="00860484"/>
    <w:rsid w:val="0086288A"/>
    <w:rsid w:val="0087157E"/>
    <w:rsid w:val="00890E27"/>
    <w:rsid w:val="00892A4F"/>
    <w:rsid w:val="008B7EDA"/>
    <w:rsid w:val="008C27FF"/>
    <w:rsid w:val="008C4FBC"/>
    <w:rsid w:val="008F59BD"/>
    <w:rsid w:val="00905FAF"/>
    <w:rsid w:val="009142BF"/>
    <w:rsid w:val="00947368"/>
    <w:rsid w:val="0099475A"/>
    <w:rsid w:val="009B2879"/>
    <w:rsid w:val="009F0CDD"/>
    <w:rsid w:val="00A10867"/>
    <w:rsid w:val="00A27BCB"/>
    <w:rsid w:val="00A46854"/>
    <w:rsid w:val="00A66405"/>
    <w:rsid w:val="00A67B79"/>
    <w:rsid w:val="00A70FC5"/>
    <w:rsid w:val="00A775FE"/>
    <w:rsid w:val="00A824E3"/>
    <w:rsid w:val="00A93197"/>
    <w:rsid w:val="00AA2543"/>
    <w:rsid w:val="00AA56DB"/>
    <w:rsid w:val="00AD600B"/>
    <w:rsid w:val="00B01EAE"/>
    <w:rsid w:val="00B1172C"/>
    <w:rsid w:val="00B437DD"/>
    <w:rsid w:val="00B56AE2"/>
    <w:rsid w:val="00B7440D"/>
    <w:rsid w:val="00B77F45"/>
    <w:rsid w:val="00B86365"/>
    <w:rsid w:val="00B902A1"/>
    <w:rsid w:val="00BA280F"/>
    <w:rsid w:val="00BB4818"/>
    <w:rsid w:val="00BD0FCB"/>
    <w:rsid w:val="00BF013B"/>
    <w:rsid w:val="00C02B38"/>
    <w:rsid w:val="00C16489"/>
    <w:rsid w:val="00C213E8"/>
    <w:rsid w:val="00C30FCE"/>
    <w:rsid w:val="00C42950"/>
    <w:rsid w:val="00C82710"/>
    <w:rsid w:val="00C92C6E"/>
    <w:rsid w:val="00C95C8D"/>
    <w:rsid w:val="00CD1A37"/>
    <w:rsid w:val="00D05974"/>
    <w:rsid w:val="00D07290"/>
    <w:rsid w:val="00D07A0D"/>
    <w:rsid w:val="00D30387"/>
    <w:rsid w:val="00D6436B"/>
    <w:rsid w:val="00D86C7A"/>
    <w:rsid w:val="00D94CE3"/>
    <w:rsid w:val="00D96BC6"/>
    <w:rsid w:val="00DC56CE"/>
    <w:rsid w:val="00DC670B"/>
    <w:rsid w:val="00DD7568"/>
    <w:rsid w:val="00E04319"/>
    <w:rsid w:val="00E20524"/>
    <w:rsid w:val="00E269A0"/>
    <w:rsid w:val="00E33E65"/>
    <w:rsid w:val="00E663A1"/>
    <w:rsid w:val="00E859E3"/>
    <w:rsid w:val="00EA66FE"/>
    <w:rsid w:val="00EE2980"/>
    <w:rsid w:val="00EE4002"/>
    <w:rsid w:val="00F41414"/>
    <w:rsid w:val="00F52F6B"/>
    <w:rsid w:val="00F93679"/>
    <w:rsid w:val="193D5246"/>
    <w:rsid w:val="3F5F1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uiPriority w:val="0"/>
    <w:pPr>
      <w:spacing w:after="120"/>
    </w:p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正文文本 字符"/>
    <w:basedOn w:val="5"/>
    <w:link w:val="2"/>
    <w:uiPriority w:val="0"/>
    <w:rPr>
      <w:rFonts w:ascii="Times New Roman" w:hAnsi="Times New Roman" w:eastAsia="宋体" w:cs="Times New Roman"/>
      <w:szCs w:val="20"/>
    </w:rPr>
  </w:style>
  <w:style w:type="character" w:styleId="11">
    <w:name w:val="Placeholder Text"/>
    <w:basedOn w:val="5"/>
    <w:semiHidden/>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F8BBC6-4531-4E7F-87DA-133E8A75D365}">
  <ds:schemaRefs/>
</ds:datastoreItem>
</file>

<file path=docProps/app.xml><?xml version="1.0" encoding="utf-8"?>
<Properties xmlns="http://schemas.openxmlformats.org/officeDocument/2006/extended-properties" xmlns:vt="http://schemas.openxmlformats.org/officeDocument/2006/docPropsVTypes">
  <Template>Normal</Template>
  <Pages>9</Pages>
  <Words>722</Words>
  <Characters>4118</Characters>
  <Lines>34</Lines>
  <Paragraphs>9</Paragraphs>
  <TotalTime>1</TotalTime>
  <ScaleCrop>false</ScaleCrop>
  <LinksUpToDate>false</LinksUpToDate>
  <CharactersWithSpaces>4831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2018-02-04T06:22:00Z</dcterms:created>
  <dc:creator>李思捷</dc:creator>
  <cp:lastModifiedBy>宋志刚1396842580</cp:lastModifiedBy>
  <cp:lastPrinted>2018-03-15T05:19:00Z</cp:lastPrinted>
  <dcterms:modified xsi:type="dcterms:W3CDTF">2019-09-18T05:05:15Z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