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华文行楷" w:eastAsia="华文行楷"/>
          <w:b/>
          <w:bCs/>
          <w:sz w:val="72"/>
          <w:szCs w:val="72"/>
        </w:rPr>
      </w:pPr>
      <w:r>
        <w:rPr>
          <w:rFonts w:hint="eastAsia" w:ascii="华文行楷" w:eastAsia="华文行楷"/>
          <w:b/>
          <w:bCs/>
          <w:sz w:val="72"/>
          <w:szCs w:val="72"/>
        </w:rPr>
        <w:t>南京审计大学金审学院</w:t>
      </w: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hint="eastAsia" w:ascii="黑体" w:eastAsia="黑体"/>
          <w:b/>
          <w:bCs/>
          <w:sz w:val="44"/>
          <w:szCs w:val="44"/>
        </w:rPr>
        <w:t>《设计与市场</w:t>
      </w:r>
      <w:r>
        <w:rPr>
          <w:rFonts w:ascii="黑体" w:eastAsia="黑体"/>
          <w:b/>
          <w:bCs/>
          <w:sz w:val="44"/>
          <w:szCs w:val="44"/>
        </w:rPr>
        <w:t>调研</w:t>
      </w:r>
      <w:r>
        <w:rPr>
          <w:rFonts w:hint="eastAsia" w:ascii="黑体" w:eastAsia="黑体"/>
          <w:b/>
          <w:bCs/>
          <w:sz w:val="44"/>
          <w:szCs w:val="44"/>
        </w:rPr>
        <w:t>》教学大纲</w:t>
      </w:r>
    </w:p>
    <w:p>
      <w:pPr>
        <w:adjustRightInd w:val="0"/>
        <w:snapToGrid w:val="0"/>
        <w:jc w:val="center"/>
        <w:rPr>
          <w:rFonts w:ascii="宋体" w:hAnsi="宋体"/>
          <w:sz w:val="44"/>
          <w:szCs w:val="44"/>
        </w:rPr>
      </w:pPr>
    </w:p>
    <w:p>
      <w:pPr>
        <w:tabs>
          <w:tab w:val="center" w:pos="4153"/>
          <w:tab w:val="left" w:pos="6999"/>
        </w:tabs>
        <w:adjustRightInd w:val="0"/>
        <w:snapToGrid w:val="0"/>
        <w:spacing w:line="360" w:lineRule="auto"/>
        <w:jc w:val="left"/>
        <w:rPr>
          <w:rFonts w:ascii="黑体" w:eastAsia="黑体"/>
          <w:b/>
          <w:bCs/>
          <w:sz w:val="44"/>
          <w:szCs w:val="44"/>
        </w:rPr>
      </w:pPr>
    </w:p>
    <w:p>
      <w:pPr>
        <w:tabs>
          <w:tab w:val="center" w:pos="4153"/>
          <w:tab w:val="left" w:pos="6999"/>
        </w:tabs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  <w:r>
        <w:rPr>
          <w:rFonts w:hint="eastAsia" w:ascii="黑体" w:eastAsia="黑体"/>
          <w:b/>
          <w:bCs/>
          <w:sz w:val="36"/>
          <w:szCs w:val="36"/>
        </w:rPr>
        <w:t>（</w:t>
      </w:r>
      <w:r>
        <w:rPr>
          <w:b/>
          <w:sz w:val="36"/>
          <w:szCs w:val="36"/>
        </w:rPr>
        <w:t>Design and Market Research</w:t>
      </w:r>
      <w:r>
        <w:rPr>
          <w:rFonts w:hint="eastAsia" w:ascii="黑体" w:eastAsia="黑体"/>
          <w:b/>
          <w:bCs/>
          <w:sz w:val="36"/>
          <w:szCs w:val="36"/>
        </w:rPr>
        <w:t>）</w:t>
      </w: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ind w:firstLine="2700" w:firstLineChars="900"/>
        <w:rPr>
          <w:rFonts w:eastAsia="黑体"/>
          <w:sz w:val="30"/>
        </w:rPr>
      </w:pPr>
      <w:r>
        <w:rPr>
          <w:rFonts w:hint="eastAsia" w:eastAsia="黑体"/>
          <w:sz w:val="30"/>
        </w:rPr>
        <w:t>制定单位：</w:t>
      </w:r>
      <w:r>
        <w:rPr>
          <w:rFonts w:hint="eastAsia" w:ascii="宋体" w:hAnsi="宋体"/>
          <w:color w:val="000000"/>
          <w:sz w:val="30"/>
        </w:rPr>
        <w:t>艺术设计学院</w:t>
      </w:r>
    </w:p>
    <w:p>
      <w:pPr>
        <w:adjustRightInd w:val="0"/>
        <w:snapToGrid w:val="0"/>
        <w:spacing w:line="360" w:lineRule="auto"/>
        <w:ind w:firstLine="2700" w:firstLineChars="900"/>
        <w:rPr>
          <w:rFonts w:eastAsia="黑体"/>
          <w:color w:val="000000"/>
          <w:sz w:val="30"/>
        </w:rPr>
      </w:pPr>
      <w:r>
        <w:rPr>
          <w:rFonts w:hint="eastAsia" w:eastAsia="黑体"/>
          <w:color w:val="000000"/>
          <w:sz w:val="30"/>
        </w:rPr>
        <w:t>制 定 人：</w:t>
      </w:r>
      <w:r>
        <w:rPr>
          <w:rFonts w:hint="eastAsia" w:ascii="宋体" w:hAnsi="宋体"/>
          <w:color w:val="000000"/>
          <w:sz w:val="30"/>
        </w:rPr>
        <w:t>吕游</w:t>
      </w:r>
    </w:p>
    <w:p>
      <w:pPr>
        <w:adjustRightInd w:val="0"/>
        <w:snapToGrid w:val="0"/>
        <w:spacing w:line="360" w:lineRule="auto"/>
        <w:ind w:firstLine="2700" w:firstLineChars="900"/>
        <w:rPr>
          <w:rFonts w:eastAsia="黑体"/>
          <w:color w:val="000000"/>
          <w:sz w:val="30"/>
        </w:rPr>
      </w:pPr>
      <w:r>
        <w:rPr>
          <w:rFonts w:hint="eastAsia" w:eastAsia="黑体"/>
          <w:color w:val="000000"/>
          <w:sz w:val="30"/>
        </w:rPr>
        <w:t>审 核 人：</w:t>
      </w:r>
      <w:r>
        <w:rPr>
          <w:rFonts w:hint="eastAsia" w:ascii="宋体" w:hAnsi="宋体"/>
          <w:color w:val="000000"/>
          <w:sz w:val="30"/>
        </w:rPr>
        <w:t>陈良梅</w:t>
      </w:r>
    </w:p>
    <w:p>
      <w:pPr>
        <w:adjustRightInd w:val="0"/>
        <w:snapToGrid w:val="0"/>
        <w:spacing w:line="360" w:lineRule="auto"/>
        <w:ind w:firstLine="2700" w:firstLineChars="900"/>
        <w:rPr>
          <w:rFonts w:ascii="黑体" w:eastAsia="黑体"/>
          <w:b/>
          <w:bCs/>
          <w:szCs w:val="21"/>
        </w:rPr>
      </w:pPr>
      <w:r>
        <w:rPr>
          <w:rFonts w:hint="eastAsia" w:eastAsia="黑体"/>
          <w:sz w:val="30"/>
        </w:rPr>
        <w:t>编写时间：</w:t>
      </w:r>
      <w:r>
        <w:rPr>
          <w:rFonts w:hint="eastAsia" w:ascii="宋体" w:hAnsi="宋体"/>
          <w:sz w:val="30"/>
        </w:rPr>
        <w:t>2017年08月31日</w:t>
      </w: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b/>
          <w:sz w:val="32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b/>
          <w:sz w:val="32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b/>
          <w:sz w:val="32"/>
        </w:rPr>
      </w:pPr>
      <w:r>
        <w:rPr>
          <w:rFonts w:hint="eastAsia" w:ascii="黑体" w:hAnsi="宋体" w:eastAsia="黑体"/>
          <w:b/>
          <w:sz w:val="32"/>
        </w:rPr>
        <w:t>课程说明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黑体" w:hAnsi="宋体" w:eastAsia="黑体"/>
          <w:b/>
          <w:sz w:val="28"/>
        </w:rPr>
      </w:pPr>
      <w:r>
        <w:rPr>
          <w:rFonts w:hint="eastAsia" w:ascii="黑体" w:hAnsi="宋体" w:eastAsia="黑体"/>
          <w:b/>
          <w:sz w:val="28"/>
        </w:rPr>
        <w:t>一、课程概述：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黑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（一）</w:t>
      </w:r>
      <w:r>
        <w:rPr>
          <w:rFonts w:hint="eastAsia" w:eastAsia="黑体"/>
          <w:bCs/>
          <w:sz w:val="24"/>
        </w:rPr>
        <w:t>课</w:t>
      </w:r>
      <w:r>
        <w:rPr>
          <w:rFonts w:hint="eastAsia" w:ascii="宋体" w:hAnsi="宋体" w:eastAsia="黑体"/>
          <w:bCs/>
          <w:sz w:val="24"/>
        </w:rPr>
        <w:t>程属性及课程介绍</w:t>
      </w:r>
    </w:p>
    <w:p>
      <w:pPr>
        <w:spacing w:line="460" w:lineRule="exact"/>
        <w:ind w:firstLine="420" w:firstLineChars="20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  <w:lang w:eastAsia="zh-CN"/>
        </w:rPr>
        <w:t>本课程是</w:t>
      </w:r>
      <w:r>
        <w:rPr>
          <w:rFonts w:hint="eastAsia" w:ascii="宋体" w:hAnsi="宋体" w:cs="宋体"/>
          <w:color w:val="000000"/>
          <w:kern w:val="0"/>
          <w:szCs w:val="21"/>
        </w:rPr>
        <w:t>对景观各类空间设计进行调研、了解以及学习积累的一门实践调研类课程。旨在让学生了解掌握当下的景观设计行业发展的特点、类型、作用及趋势。从而为今后的专业课程打下基础。</w:t>
      </w:r>
    </w:p>
    <w:p>
      <w:pPr>
        <w:spacing w:line="460" w:lineRule="exact"/>
        <w:ind w:firstLine="420" w:firstLineChars="200"/>
        <w:rPr>
          <w:rFonts w:ascii="宋体" w:hAnsi="宋体"/>
        </w:rPr>
      </w:pP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（二）教学目标</w:t>
      </w:r>
    </w:p>
    <w:p>
      <w:pPr>
        <w:spacing w:line="460" w:lineRule="exact"/>
        <w:ind w:firstLine="420" w:firstLineChars="20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/>
          <w:szCs w:val="21"/>
        </w:rPr>
        <w:t>通过本课程的调研学习，让学生在了解景观设计专业内容构成的基础上，对景观行业设计领域进行初步探知，使学生能够实际感知景观设计的相关内容、作用和呈现效果。从而能够进行学习积累，建立视觉设计的思维方式且能够在今后的专业学习中逐步得到拓展,引导学生学会运用发散性思维进行设计思考，从而在专业积累的基础上具有可持续发展的潜能。</w:t>
      </w:r>
    </w:p>
    <w:p>
      <w:pPr>
        <w:spacing w:line="360" w:lineRule="exact"/>
        <w:rPr>
          <w:rFonts w:ascii="宋体" w:hAnsi="宋体"/>
          <w:b/>
          <w:szCs w:val="21"/>
        </w:rPr>
      </w:pP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（三）适用对象</w:t>
      </w:r>
    </w:p>
    <w:p>
      <w:pPr>
        <w:adjustRightInd w:val="0"/>
        <w:snapToGrid w:val="0"/>
        <w:spacing w:line="360" w:lineRule="auto"/>
        <w:ind w:firstLine="1050" w:firstLineChars="500"/>
        <w:rPr>
          <w:rFonts w:ascii="宋体" w:hAnsi="宋体"/>
        </w:rPr>
      </w:pPr>
      <w:r>
        <w:rPr>
          <w:rFonts w:hint="eastAsia" w:ascii="宋体" w:hAnsi="宋体"/>
          <w:lang w:val="zh-CN"/>
        </w:rPr>
        <w:t>艺术设计类本科专业（环境艺术设计景观设计方向）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（四）先修课程与后续课程</w:t>
      </w:r>
    </w:p>
    <w:p>
      <w:pPr>
        <w:spacing w:line="46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在环境艺术设计专业当中，本课程为我校环艺专业的专业基础课程中的实践调研环节：前导课程有《构成基础》、《设计制图Ⅰ、Ⅱ》、《效果图表现技法》、《计算机辅助设计1》；后续课程有《景观设计原理》、《景观设计基础与应用》、《景观公共艺术设计》等。 </w:t>
      </w:r>
    </w:p>
    <w:p>
      <w:pPr>
        <w:adjustRightInd w:val="0"/>
        <w:snapToGrid w:val="0"/>
        <w:spacing w:line="360" w:lineRule="auto"/>
        <w:ind w:firstLine="1050" w:firstLineChars="500"/>
        <w:rPr>
          <w:rFonts w:ascii="宋体" w:hAnsi="宋体"/>
        </w:rPr>
      </w:pPr>
    </w:p>
    <w:p>
      <w:pPr>
        <w:adjustRightInd w:val="0"/>
        <w:snapToGrid w:val="0"/>
        <w:spacing w:line="360" w:lineRule="auto"/>
        <w:ind w:firstLine="562" w:firstLineChars="200"/>
        <w:rPr>
          <w:rFonts w:ascii="宋体" w:hAnsi="宋体" w:eastAsia="黑体"/>
          <w:b/>
          <w:bCs/>
          <w:sz w:val="28"/>
        </w:rPr>
      </w:pPr>
      <w:r>
        <w:rPr>
          <w:rFonts w:hint="eastAsia" w:ascii="宋体" w:hAnsi="宋体" w:eastAsia="黑体"/>
          <w:b/>
          <w:bCs/>
          <w:sz w:val="28"/>
        </w:rPr>
        <w:t>二、任课教师教学过程中应注意的事项</w:t>
      </w:r>
    </w:p>
    <w:p>
      <w:pPr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1、强调对学生认知能力及设计思维的培养</w:t>
      </w:r>
    </w:p>
    <w:p>
      <w:pPr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2、注重项目调研与理论解剖的结合</w:t>
      </w:r>
    </w:p>
    <w:p>
      <w:pPr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3、通过实地调研中的每个细节去引导学生，关注设计方法与过程研究</w:t>
      </w:r>
    </w:p>
    <w:p>
      <w:pPr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4、强调学生的综合表达能力与案例解读能力</w:t>
      </w:r>
    </w:p>
    <w:p>
      <w:pPr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5、以丰富的教学形式促进学生自主学习能力的提升</w:t>
      </w:r>
    </w:p>
    <w:p>
      <w:pPr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6、充分利用多媒体技术及网络教学资源</w:t>
      </w:r>
    </w:p>
    <w:p>
      <w:pPr>
        <w:adjustRightInd w:val="0"/>
        <w:snapToGrid w:val="0"/>
        <w:spacing w:line="360" w:lineRule="auto"/>
        <w:ind w:firstLine="1405" w:firstLineChars="500"/>
        <w:rPr>
          <w:rFonts w:ascii="宋体" w:hAnsi="宋体" w:eastAsia="黑体"/>
          <w:b/>
          <w:bCs/>
          <w:sz w:val="28"/>
        </w:rPr>
      </w:pPr>
    </w:p>
    <w:p>
      <w:pPr>
        <w:adjustRightInd w:val="0"/>
        <w:snapToGrid w:val="0"/>
        <w:spacing w:line="360" w:lineRule="auto"/>
        <w:ind w:firstLine="562" w:firstLineChars="200"/>
        <w:rPr>
          <w:rFonts w:ascii="黑体" w:hAnsi="宋体" w:eastAsia="黑体"/>
          <w:b/>
          <w:bCs/>
          <w:sz w:val="28"/>
        </w:rPr>
      </w:pPr>
      <w:r>
        <w:rPr>
          <w:rFonts w:hint="eastAsia" w:ascii="宋体" w:hAnsi="宋体" w:eastAsia="黑体"/>
          <w:b/>
          <w:bCs/>
          <w:sz w:val="28"/>
        </w:rPr>
        <w:t>三、学时要求与分配</w:t>
      </w:r>
      <w:r>
        <w:rPr>
          <w:rFonts w:hint="eastAsia" w:ascii="黑体" w:hAnsi="宋体" w:eastAsia="黑体"/>
          <w:b/>
          <w:bCs/>
          <w:sz w:val="28"/>
        </w:rPr>
        <w:t>：</w:t>
      </w:r>
    </w:p>
    <w:p>
      <w:pPr>
        <w:adjustRightInd w:val="0"/>
        <w:snapToGrid w:val="0"/>
        <w:spacing w:line="360" w:lineRule="auto"/>
        <w:ind w:left="483" w:leftChars="230"/>
        <w:rPr>
          <w:rFonts w:ascii="宋体" w:hAnsi="宋体" w:eastAsia="黑体"/>
          <w:sz w:val="24"/>
        </w:rPr>
      </w:pPr>
      <w:r>
        <w:rPr>
          <w:rFonts w:hint="eastAsia" w:ascii="黑体" w:hAnsi="宋体" w:eastAsia="黑体"/>
          <w:bCs/>
          <w:sz w:val="24"/>
        </w:rPr>
        <w:t>（一）</w:t>
      </w:r>
      <w:r>
        <w:rPr>
          <w:rFonts w:hint="eastAsia" w:ascii="宋体" w:hAnsi="宋体" w:eastAsia="黑体"/>
          <w:sz w:val="24"/>
        </w:rPr>
        <w:t>总学时要求</w:t>
      </w:r>
    </w:p>
    <w:p>
      <w:pPr>
        <w:adjustRightInd w:val="0"/>
        <w:snapToGrid w:val="0"/>
        <w:spacing w:line="360" w:lineRule="auto"/>
        <w:ind w:firstLine="1050" w:firstLineChars="500"/>
        <w:rPr>
          <w:rFonts w:ascii="宋体" w:hAnsi="宋体"/>
        </w:rPr>
      </w:pPr>
      <w:r>
        <w:rPr>
          <w:rFonts w:hint="eastAsia" w:ascii="宋体" w:hAnsi="宋体"/>
        </w:rPr>
        <w:t>本课程总学时计3</w:t>
      </w:r>
      <w:r>
        <w:rPr>
          <w:rFonts w:ascii="宋体" w:hAnsi="宋体"/>
        </w:rPr>
        <w:t>0</w:t>
      </w:r>
      <w:r>
        <w:rPr>
          <w:rFonts w:hint="eastAsia" w:ascii="宋体" w:hAnsi="宋体"/>
        </w:rPr>
        <w:t>学时。</w:t>
      </w:r>
    </w:p>
    <w:p>
      <w:pPr>
        <w:adjustRightInd w:val="0"/>
        <w:snapToGrid w:val="0"/>
        <w:spacing w:line="360" w:lineRule="auto"/>
        <w:ind w:left="482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（二）学时分配</w:t>
      </w:r>
    </w:p>
    <w:tbl>
      <w:tblPr>
        <w:tblStyle w:val="10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  <w:gridCol w:w="4500"/>
        <w:gridCol w:w="768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周别</w:t>
            </w:r>
          </w:p>
        </w:tc>
        <w:tc>
          <w:tcPr>
            <w:tcW w:w="720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授课次数</w:t>
            </w:r>
          </w:p>
        </w:tc>
        <w:tc>
          <w:tcPr>
            <w:tcW w:w="4500" w:type="dxa"/>
            <w:vAlign w:val="center"/>
          </w:tcPr>
          <w:p>
            <w:pPr>
              <w:ind w:firstLine="548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    授课章节与内容摘要</w:t>
            </w:r>
          </w:p>
        </w:tc>
        <w:tc>
          <w:tcPr>
            <w:tcW w:w="768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教学时数</w:t>
            </w:r>
          </w:p>
        </w:tc>
        <w:tc>
          <w:tcPr>
            <w:tcW w:w="1704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28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18</w:t>
            </w:r>
          </w:p>
        </w:tc>
        <w:tc>
          <w:tcPr>
            <w:tcW w:w="72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一、历史文化街区景观空间设计调研（一）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1.1设计定位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1.2 景观设计内容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1.3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模块架构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1.4总结与启示</w:t>
            </w:r>
          </w:p>
        </w:tc>
        <w:tc>
          <w:tcPr>
            <w:tcW w:w="768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704" w:type="dxa"/>
            <w:vMerge w:val="restart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校外调研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（南京老门东商业街区）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28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18</w:t>
            </w:r>
          </w:p>
        </w:tc>
        <w:tc>
          <w:tcPr>
            <w:tcW w:w="72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二、历史文化街区景观空间设计调研（二）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  <w:r>
              <w:rPr>
                <w:rFonts w:hint="eastAsia" w:ascii="宋体" w:hAnsi="宋体"/>
                <w:color w:val="000000"/>
                <w:szCs w:val="21"/>
              </w:rPr>
              <w:t>.1设计定位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  <w:r>
              <w:rPr>
                <w:rFonts w:hint="eastAsia" w:ascii="宋体" w:hAnsi="宋体"/>
                <w:color w:val="000000"/>
                <w:szCs w:val="21"/>
              </w:rPr>
              <w:t>.2景观设计内容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  <w:r>
              <w:rPr>
                <w:rFonts w:hint="eastAsia" w:ascii="宋体" w:hAnsi="宋体"/>
                <w:color w:val="000000"/>
                <w:szCs w:val="21"/>
              </w:rPr>
              <w:t>.3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模块架构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  <w:r>
              <w:rPr>
                <w:rFonts w:hint="eastAsia" w:ascii="宋体" w:hAnsi="宋体"/>
                <w:color w:val="000000"/>
                <w:szCs w:val="21"/>
              </w:rPr>
              <w:t>.4总结与启示</w:t>
            </w:r>
          </w:p>
        </w:tc>
        <w:tc>
          <w:tcPr>
            <w:tcW w:w="768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704" w:type="dxa"/>
            <w:vMerge w:val="continue"/>
          </w:tcPr>
          <w:p>
            <w:pPr>
              <w:rPr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828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18</w:t>
            </w:r>
          </w:p>
        </w:tc>
        <w:tc>
          <w:tcPr>
            <w:tcW w:w="72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三、历史文化街区景观空间设计调研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调研报告总结</w:t>
            </w:r>
          </w:p>
        </w:tc>
        <w:tc>
          <w:tcPr>
            <w:tcW w:w="768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704" w:type="dxa"/>
          </w:tcPr>
          <w:p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阶段性调研报告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28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18</w:t>
            </w:r>
          </w:p>
        </w:tc>
        <w:tc>
          <w:tcPr>
            <w:tcW w:w="72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四、商业景观空间设计调研（一）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  <w:r>
              <w:rPr>
                <w:rFonts w:hint="eastAsia" w:ascii="宋体" w:hAnsi="宋体"/>
                <w:color w:val="000000"/>
                <w:szCs w:val="21"/>
              </w:rPr>
              <w:t>.1设计定位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  <w:r>
              <w:rPr>
                <w:rFonts w:hint="eastAsia" w:ascii="宋体" w:hAnsi="宋体"/>
                <w:color w:val="000000"/>
                <w:szCs w:val="21"/>
              </w:rPr>
              <w:t>.2景观设计内容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  <w:r>
              <w:rPr>
                <w:rFonts w:hint="eastAsia" w:ascii="宋体" w:hAnsi="宋体"/>
                <w:color w:val="000000"/>
                <w:szCs w:val="21"/>
              </w:rPr>
              <w:t>.3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模块架构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  <w:r>
              <w:rPr>
                <w:rFonts w:hint="eastAsia" w:ascii="宋体" w:hAnsi="宋体"/>
                <w:color w:val="000000"/>
                <w:szCs w:val="21"/>
              </w:rPr>
              <w:t>.4总结与启示</w:t>
            </w:r>
          </w:p>
        </w:tc>
        <w:tc>
          <w:tcPr>
            <w:tcW w:w="768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704" w:type="dxa"/>
            <w:vMerge w:val="restart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校外调研</w:t>
            </w:r>
          </w:p>
          <w:p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szCs w:val="21"/>
              </w:rPr>
              <w:t>（南京虹悦城／水游城／景枫等）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28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18</w:t>
            </w:r>
          </w:p>
        </w:tc>
        <w:tc>
          <w:tcPr>
            <w:tcW w:w="72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五、商业景观空间设计调研（二）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5</w:t>
            </w:r>
            <w:r>
              <w:rPr>
                <w:rFonts w:hint="eastAsia" w:ascii="宋体" w:hAnsi="宋体"/>
                <w:color w:val="000000"/>
                <w:szCs w:val="21"/>
              </w:rPr>
              <w:t>.1设计定位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5</w:t>
            </w:r>
            <w:r>
              <w:rPr>
                <w:rFonts w:hint="eastAsia" w:ascii="宋体" w:hAnsi="宋体"/>
                <w:color w:val="000000"/>
                <w:szCs w:val="21"/>
              </w:rPr>
              <w:t>.2景观设计内容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5</w:t>
            </w:r>
            <w:r>
              <w:rPr>
                <w:rFonts w:hint="eastAsia" w:ascii="宋体" w:hAnsi="宋体"/>
                <w:color w:val="000000"/>
                <w:szCs w:val="21"/>
              </w:rPr>
              <w:t>.3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模块架构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5</w:t>
            </w:r>
            <w:r>
              <w:rPr>
                <w:rFonts w:hint="eastAsia" w:ascii="宋体" w:hAnsi="宋体"/>
                <w:color w:val="000000"/>
                <w:szCs w:val="21"/>
              </w:rPr>
              <w:t>.4总结与启示</w:t>
            </w:r>
          </w:p>
        </w:tc>
        <w:tc>
          <w:tcPr>
            <w:tcW w:w="768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704" w:type="dxa"/>
            <w:vMerge w:val="continue"/>
          </w:tcPr>
          <w:p>
            <w:pPr>
              <w:jc w:val="center"/>
              <w:rPr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28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18</w:t>
            </w:r>
          </w:p>
        </w:tc>
        <w:tc>
          <w:tcPr>
            <w:tcW w:w="72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六、商业景观空间设计调研报告总结</w:t>
            </w:r>
          </w:p>
        </w:tc>
        <w:tc>
          <w:tcPr>
            <w:tcW w:w="768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704" w:type="dxa"/>
          </w:tcPr>
          <w:p>
            <w:pPr>
              <w:rPr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阶段性调研报告总结性调研报告</w:t>
            </w:r>
          </w:p>
        </w:tc>
      </w:tr>
    </w:tbl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</w:p>
    <w:p>
      <w:pPr>
        <w:adjustRightInd w:val="0"/>
        <w:snapToGrid w:val="0"/>
        <w:spacing w:line="360" w:lineRule="auto"/>
        <w:ind w:firstLine="275" w:firstLineChars="98"/>
        <w:rPr>
          <w:rFonts w:eastAsia="黑体"/>
          <w:b/>
          <w:bCs/>
          <w:sz w:val="28"/>
        </w:rPr>
      </w:pPr>
      <w:r>
        <w:rPr>
          <w:rFonts w:hint="eastAsia" w:ascii="宋体" w:hAnsi="宋体" w:eastAsia="黑体"/>
          <w:b/>
          <w:bCs/>
          <w:sz w:val="28"/>
        </w:rPr>
        <w:t>四、</w:t>
      </w:r>
      <w:r>
        <w:rPr>
          <w:rFonts w:hint="eastAsia" w:eastAsia="黑体"/>
          <w:b/>
          <w:bCs/>
          <w:sz w:val="28"/>
        </w:rPr>
        <w:t>实践教学内容与要求</w:t>
      </w:r>
    </w:p>
    <w:p>
      <w:pPr>
        <w:ind w:firstLine="420" w:firstLineChars="200"/>
        <w:jc w:val="left"/>
      </w:pPr>
      <w:r>
        <w:rPr>
          <w:rFonts w:hint="eastAsia"/>
        </w:rPr>
        <w:t>本课程在教学中采用了案例式、情境式等方法引导学生主动进入设计状态，激励学生不断要求进步，并且让学生组成设计团队进行练习，使资源优化整合并增强学生的团队合作意识。</w:t>
      </w:r>
    </w:p>
    <w:p>
      <w:pPr>
        <w:pStyle w:val="22"/>
        <w:numPr>
          <w:ilvl w:val="0"/>
          <w:numId w:val="2"/>
        </w:numPr>
        <w:ind w:firstLineChars="0"/>
        <w:jc w:val="left"/>
      </w:pPr>
      <w:r>
        <w:rPr>
          <w:rFonts w:hint="eastAsia"/>
        </w:rPr>
        <w:t>前往南京本地较为领先的景观设计地点进行实地调研，帮助学生了解市场应用。</w:t>
      </w:r>
    </w:p>
    <w:p>
      <w:pPr>
        <w:pStyle w:val="22"/>
        <w:numPr>
          <w:ilvl w:val="0"/>
          <w:numId w:val="2"/>
        </w:numPr>
        <w:ind w:firstLineChars="0"/>
        <w:jc w:val="left"/>
      </w:pPr>
      <w:r>
        <w:rPr>
          <w:rFonts w:hint="eastAsia"/>
        </w:rPr>
        <w:t>借助校企合作工作室平台，帮助学生了解市场需求；</w:t>
      </w:r>
    </w:p>
    <w:p>
      <w:pPr>
        <w:ind w:firstLine="420" w:firstLineChars="200"/>
        <w:jc w:val="left"/>
      </w:pPr>
      <w:r>
        <w:rPr>
          <w:rFonts w:hint="eastAsia"/>
        </w:rPr>
        <w:t>2、进一步加强学生对资料、案例收集整理并分析中外优秀设计案例，丰富学生的专业信息；</w:t>
      </w:r>
    </w:p>
    <w:p>
      <w:pPr>
        <w:ind w:firstLine="420" w:firstLineChars="200"/>
        <w:jc w:val="left"/>
      </w:pPr>
      <w:r>
        <w:rPr>
          <w:rFonts w:hint="eastAsia"/>
        </w:rPr>
        <w:t>3、仍需注重培养学生的多元化思维和表现能力；</w:t>
      </w:r>
    </w:p>
    <w:p>
      <w:pPr>
        <w:ind w:firstLine="420" w:firstLineChars="200"/>
        <w:jc w:val="left"/>
      </w:pPr>
      <w:r>
        <w:rPr>
          <w:rFonts w:hint="eastAsia"/>
        </w:rPr>
        <w:t>4、进一步调整扩充资源，利用教学云平台，丰富教学手段，培养学生的自主学习能力。</w:t>
      </w:r>
    </w:p>
    <w:p>
      <w:pPr>
        <w:ind w:firstLine="420" w:firstLineChars="200"/>
        <w:jc w:val="left"/>
      </w:pP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562" w:firstLineChars="200"/>
        <w:rPr>
          <w:rFonts w:ascii="宋体" w:hAnsi="宋体" w:eastAsia="黑体"/>
          <w:b/>
          <w:bCs/>
          <w:sz w:val="28"/>
        </w:rPr>
      </w:pPr>
      <w:r>
        <w:rPr>
          <w:rFonts w:hint="eastAsia" w:ascii="宋体" w:hAnsi="宋体" w:eastAsia="黑体"/>
          <w:b/>
          <w:bCs/>
          <w:sz w:val="28"/>
        </w:rPr>
        <w:t>教学</w:t>
      </w:r>
      <w:r>
        <w:rPr>
          <w:rFonts w:ascii="宋体" w:hAnsi="宋体" w:eastAsia="黑体"/>
          <w:b/>
          <w:bCs/>
          <w:sz w:val="28"/>
        </w:rPr>
        <w:t>参考</w:t>
      </w:r>
      <w:r>
        <w:rPr>
          <w:rFonts w:hint="eastAsia" w:ascii="宋体" w:hAnsi="宋体" w:eastAsia="黑体"/>
          <w:b/>
          <w:bCs/>
          <w:sz w:val="28"/>
        </w:rPr>
        <w:t>资料</w:t>
      </w:r>
    </w:p>
    <w:p>
      <w:pPr>
        <w:pStyle w:val="2"/>
        <w:shd w:val="clear" w:color="auto" w:fill="FFFFFF"/>
        <w:spacing w:before="0" w:after="0" w:line="360" w:lineRule="atLeast"/>
        <w:rPr>
          <w:b w:val="0"/>
          <w:bCs w:val="0"/>
          <w:kern w:val="2"/>
          <w:sz w:val="21"/>
          <w:szCs w:val="21"/>
        </w:rPr>
      </w:pPr>
      <w:r>
        <w:rPr>
          <w:rFonts w:hint="eastAsia"/>
          <w:b w:val="0"/>
          <w:bCs w:val="0"/>
          <w:kern w:val="2"/>
          <w:sz w:val="21"/>
          <w:szCs w:val="21"/>
        </w:rPr>
        <w:t>1、《</w:t>
      </w:r>
      <w:r>
        <w:rPr>
          <w:b w:val="0"/>
          <w:bCs w:val="0"/>
          <w:kern w:val="2"/>
          <w:sz w:val="21"/>
          <w:szCs w:val="21"/>
        </w:rPr>
        <w:t>景观设计学——场地规划与设计手册</w:t>
      </w:r>
      <w:r>
        <w:rPr>
          <w:rFonts w:hint="eastAsia"/>
          <w:b w:val="0"/>
          <w:bCs w:val="0"/>
          <w:kern w:val="2"/>
          <w:sz w:val="21"/>
          <w:szCs w:val="21"/>
        </w:rPr>
        <w:t xml:space="preserve">》 </w:t>
      </w:r>
      <w:r>
        <w:rPr>
          <w:b w:val="0"/>
          <w:bCs w:val="0"/>
          <w:kern w:val="2"/>
          <w:sz w:val="21"/>
          <w:szCs w:val="21"/>
        </w:rPr>
        <w:t xml:space="preserve"> 作者:</w:t>
      </w:r>
      <w:r>
        <w:fldChar w:fldCharType="begin"/>
      </w:r>
      <w:r>
        <w:instrText xml:space="preserve"> HYPERLINK "http://search.dangdang.com/?key2=%B0%CD%C0%EF%A1%A4W%A1%A4%CB%B9%CB%FE%BF%CB&amp;medium=01&amp;category_path=01.00.00.00.00.00" </w:instrText>
      </w:r>
      <w:r>
        <w:fldChar w:fldCharType="separate"/>
      </w:r>
      <w:r>
        <w:rPr>
          <w:b w:val="0"/>
          <w:bCs w:val="0"/>
          <w:kern w:val="2"/>
          <w:sz w:val="21"/>
          <w:szCs w:val="21"/>
        </w:rPr>
        <w:t>巴里·W·斯塔克</w:t>
      </w:r>
      <w:r>
        <w:rPr>
          <w:b w:val="0"/>
          <w:bCs w:val="0"/>
          <w:kern w:val="2"/>
          <w:sz w:val="21"/>
          <w:szCs w:val="21"/>
        </w:rPr>
        <w:fldChar w:fldCharType="end"/>
      </w:r>
      <w:r>
        <w:rPr>
          <w:b w:val="0"/>
          <w:bCs w:val="0"/>
          <w:kern w:val="2"/>
          <w:sz w:val="21"/>
          <w:szCs w:val="21"/>
        </w:rPr>
        <w:t>出版社:</w:t>
      </w:r>
      <w:r>
        <w:fldChar w:fldCharType="begin"/>
      </w:r>
      <w:r>
        <w:instrText xml:space="preserve"> HYPERLINK "http://search.dangdang.com/?key3=%D6%D0%B9%FA%BD%A8%D6%FE%B9%A4%D2%B5%B3%F6%B0%E6%C9%E7&amp;medium=01&amp;category_path=01.00.00.00.00.00" </w:instrText>
      </w:r>
      <w:r>
        <w:fldChar w:fldCharType="separate"/>
      </w:r>
      <w:r>
        <w:rPr>
          <w:b w:val="0"/>
          <w:bCs w:val="0"/>
          <w:kern w:val="2"/>
          <w:sz w:val="21"/>
          <w:szCs w:val="21"/>
        </w:rPr>
        <w:t>中国建筑工业出版社</w:t>
      </w:r>
      <w:r>
        <w:rPr>
          <w:b w:val="0"/>
          <w:bCs w:val="0"/>
          <w:kern w:val="2"/>
          <w:sz w:val="21"/>
          <w:szCs w:val="21"/>
        </w:rPr>
        <w:fldChar w:fldCharType="end"/>
      </w:r>
      <w:r>
        <w:rPr>
          <w:b w:val="0"/>
          <w:bCs w:val="0"/>
          <w:kern w:val="2"/>
          <w:sz w:val="21"/>
          <w:szCs w:val="21"/>
        </w:rPr>
        <w:t>出版时间:2014年07月 </w:t>
      </w:r>
    </w:p>
    <w:p>
      <w:pPr>
        <w:pStyle w:val="2"/>
        <w:shd w:val="clear" w:color="auto" w:fill="FFFFFF"/>
        <w:spacing w:before="0" w:after="0" w:line="360" w:lineRule="atLeast"/>
        <w:rPr>
          <w:b w:val="0"/>
          <w:bCs w:val="0"/>
          <w:kern w:val="2"/>
          <w:sz w:val="21"/>
          <w:szCs w:val="21"/>
        </w:rPr>
      </w:pPr>
      <w:r>
        <w:rPr>
          <w:rFonts w:hint="eastAsia"/>
          <w:b w:val="0"/>
          <w:bCs w:val="0"/>
          <w:kern w:val="2"/>
          <w:sz w:val="21"/>
          <w:szCs w:val="21"/>
        </w:rPr>
        <w:t>2、《</w:t>
      </w:r>
      <w:r>
        <w:rPr>
          <w:b w:val="0"/>
          <w:bCs w:val="0"/>
          <w:kern w:val="2"/>
          <w:sz w:val="21"/>
          <w:szCs w:val="21"/>
        </w:rPr>
        <w:t>人性场所——城市开放空间设计导则（第二版修订版）</w:t>
      </w:r>
      <w:r>
        <w:rPr>
          <w:rFonts w:hint="eastAsia"/>
          <w:b w:val="0"/>
          <w:bCs w:val="0"/>
          <w:kern w:val="2"/>
          <w:sz w:val="21"/>
          <w:szCs w:val="21"/>
        </w:rPr>
        <w:t>》</w:t>
      </w:r>
      <w:r>
        <w:rPr>
          <w:b w:val="0"/>
          <w:bCs w:val="0"/>
          <w:kern w:val="2"/>
          <w:sz w:val="21"/>
          <w:szCs w:val="21"/>
        </w:rPr>
        <w:t xml:space="preserve">作者:[美] </w:t>
      </w:r>
      <w:r>
        <w:fldChar w:fldCharType="begin"/>
      </w:r>
      <w:r>
        <w:instrText xml:space="preserve"> HYPERLINK "http://search.dangdang.com/?key2=%BF%CB%C0%B3%B6%FB%A1%A4%BF%E2%E7%EA%A1%A4%C2%ED%BF%E2%CB%B9&amp;medium=01&amp;category_path=01.00.00.00.00.00" </w:instrText>
      </w:r>
      <w:r>
        <w:fldChar w:fldCharType="separate"/>
      </w:r>
      <w:r>
        <w:rPr>
          <w:b w:val="0"/>
          <w:bCs w:val="0"/>
          <w:kern w:val="2"/>
          <w:sz w:val="21"/>
          <w:szCs w:val="21"/>
        </w:rPr>
        <w:t>克莱尔·库珀·马库斯</w:t>
      </w:r>
      <w:r>
        <w:rPr>
          <w:b w:val="0"/>
          <w:bCs w:val="0"/>
          <w:kern w:val="2"/>
          <w:sz w:val="21"/>
          <w:szCs w:val="21"/>
        </w:rPr>
        <w:fldChar w:fldCharType="end"/>
      </w:r>
      <w:r>
        <w:rPr>
          <w:b w:val="0"/>
          <w:bCs w:val="0"/>
          <w:kern w:val="2"/>
          <w:sz w:val="21"/>
          <w:szCs w:val="21"/>
        </w:rPr>
        <w:t>，[美]</w:t>
      </w:r>
      <w:r>
        <w:fldChar w:fldCharType="begin"/>
      </w:r>
      <w:r>
        <w:instrText xml:space="preserve"> HYPERLINK "http://search.dangdang.com/?key2=%BF%A8%C2%DE%C1%D5%A1%A4%B8%A5%C0%CA%CE%F7%CB%B9&amp;medium=01&amp;category_path=01.00.00.00.00.00" </w:instrText>
      </w:r>
      <w:r>
        <w:fldChar w:fldCharType="separate"/>
      </w:r>
      <w:r>
        <w:rPr>
          <w:b w:val="0"/>
          <w:bCs w:val="0"/>
          <w:kern w:val="2"/>
          <w:sz w:val="21"/>
          <w:szCs w:val="21"/>
        </w:rPr>
        <w:t>卡罗琳·弗朗西斯</w:t>
      </w:r>
      <w:r>
        <w:rPr>
          <w:b w:val="0"/>
          <w:bCs w:val="0"/>
          <w:kern w:val="2"/>
          <w:sz w:val="21"/>
          <w:szCs w:val="21"/>
        </w:rPr>
        <w:fldChar w:fldCharType="end"/>
      </w:r>
      <w:r>
        <w:rPr>
          <w:b w:val="0"/>
          <w:bCs w:val="0"/>
          <w:kern w:val="2"/>
          <w:sz w:val="21"/>
          <w:szCs w:val="21"/>
        </w:rPr>
        <w:t xml:space="preserve"> 编著著，</w:t>
      </w:r>
      <w:r>
        <w:fldChar w:fldCharType="begin"/>
      </w:r>
      <w:r>
        <w:instrText xml:space="preserve"> HYPERLINK "http://search.dangdang.com/?key2=%D3%E1%BF%D7%BC%E1&amp;medium=01&amp;category_path=01.00.00.00.00.00" </w:instrText>
      </w:r>
      <w:r>
        <w:fldChar w:fldCharType="separate"/>
      </w:r>
      <w:r>
        <w:rPr>
          <w:b w:val="0"/>
          <w:bCs w:val="0"/>
          <w:kern w:val="2"/>
          <w:sz w:val="21"/>
          <w:szCs w:val="21"/>
        </w:rPr>
        <w:t>俞孔坚</w:t>
      </w:r>
      <w:r>
        <w:rPr>
          <w:b w:val="0"/>
          <w:bCs w:val="0"/>
          <w:kern w:val="2"/>
          <w:sz w:val="21"/>
          <w:szCs w:val="21"/>
        </w:rPr>
        <w:fldChar w:fldCharType="end"/>
      </w:r>
      <w:r>
        <w:rPr>
          <w:b w:val="0"/>
          <w:bCs w:val="0"/>
          <w:kern w:val="2"/>
          <w:sz w:val="21"/>
          <w:szCs w:val="21"/>
        </w:rPr>
        <w:t>，</w:t>
      </w:r>
      <w:r>
        <w:fldChar w:fldCharType="begin"/>
      </w:r>
      <w:r>
        <w:instrText xml:space="preserve"> HYPERLINK "http://search.dangdang.com/?key2=%CD%F5%D6%BE%B7%BC&amp;medium=01&amp;category_path=01.00.00.00.00.00" </w:instrText>
      </w:r>
      <w:r>
        <w:fldChar w:fldCharType="separate"/>
      </w:r>
      <w:r>
        <w:rPr>
          <w:b w:val="0"/>
          <w:bCs w:val="0"/>
          <w:kern w:val="2"/>
          <w:sz w:val="21"/>
          <w:szCs w:val="21"/>
        </w:rPr>
        <w:t>王志芳</w:t>
      </w:r>
      <w:r>
        <w:rPr>
          <w:b w:val="0"/>
          <w:bCs w:val="0"/>
          <w:kern w:val="2"/>
          <w:sz w:val="21"/>
          <w:szCs w:val="21"/>
        </w:rPr>
        <w:fldChar w:fldCharType="end"/>
      </w:r>
      <w:r>
        <w:rPr>
          <w:b w:val="0"/>
          <w:bCs w:val="0"/>
          <w:kern w:val="2"/>
          <w:sz w:val="21"/>
          <w:szCs w:val="21"/>
        </w:rPr>
        <w:t>，</w:t>
      </w:r>
      <w:r>
        <w:fldChar w:fldCharType="begin"/>
      </w:r>
      <w:r>
        <w:instrText xml:space="preserve"> HYPERLINK "http://search.dangdang.com/?key2=%CB%EF%C5%F4%B5%C8&amp;medium=01&amp;category_path=01.00.00.00.00.00" </w:instrText>
      </w:r>
      <w:r>
        <w:fldChar w:fldCharType="separate"/>
      </w:r>
      <w:r>
        <w:rPr>
          <w:b w:val="0"/>
          <w:bCs w:val="0"/>
          <w:kern w:val="2"/>
          <w:sz w:val="21"/>
          <w:szCs w:val="21"/>
        </w:rPr>
        <w:t>孙鹏等</w:t>
      </w:r>
      <w:r>
        <w:rPr>
          <w:b w:val="0"/>
          <w:bCs w:val="0"/>
          <w:kern w:val="2"/>
          <w:sz w:val="21"/>
          <w:szCs w:val="21"/>
        </w:rPr>
        <w:fldChar w:fldCharType="end"/>
      </w:r>
      <w:r>
        <w:rPr>
          <w:b w:val="0"/>
          <w:bCs w:val="0"/>
          <w:kern w:val="2"/>
          <w:sz w:val="21"/>
          <w:szCs w:val="21"/>
        </w:rPr>
        <w:t>译出版社:</w:t>
      </w:r>
      <w:r>
        <w:fldChar w:fldCharType="begin"/>
      </w:r>
      <w:r>
        <w:instrText xml:space="preserve"> HYPERLINK "http://search.dangdang.com/?key3=%B1%B1%BE%A9%BF%C6%D1%A7%BC%BC%CA%F5%B3%F6%B0%E6%C9%E7&amp;medium=01&amp;category_path=01.00.00.00.00.00" </w:instrText>
      </w:r>
      <w:r>
        <w:fldChar w:fldCharType="separate"/>
      </w:r>
      <w:r>
        <w:rPr>
          <w:b w:val="0"/>
          <w:bCs w:val="0"/>
          <w:kern w:val="2"/>
          <w:sz w:val="21"/>
          <w:szCs w:val="21"/>
        </w:rPr>
        <w:t>北京科学技术出版社</w:t>
      </w:r>
      <w:r>
        <w:rPr>
          <w:b w:val="0"/>
          <w:bCs w:val="0"/>
          <w:kern w:val="2"/>
          <w:sz w:val="21"/>
          <w:szCs w:val="21"/>
        </w:rPr>
        <w:fldChar w:fldCharType="end"/>
      </w:r>
      <w:r>
        <w:rPr>
          <w:b w:val="0"/>
          <w:bCs w:val="0"/>
          <w:kern w:val="2"/>
          <w:sz w:val="21"/>
          <w:szCs w:val="21"/>
        </w:rPr>
        <w:t>出版时间:2017年01月 </w:t>
      </w:r>
    </w:p>
    <w:p>
      <w:pPr>
        <w:pStyle w:val="2"/>
        <w:shd w:val="clear" w:color="auto" w:fill="FFFFFF"/>
        <w:spacing w:before="0" w:after="0" w:line="360" w:lineRule="atLeast"/>
        <w:rPr>
          <w:b w:val="0"/>
          <w:bCs w:val="0"/>
          <w:kern w:val="2"/>
          <w:sz w:val="21"/>
          <w:szCs w:val="21"/>
        </w:rPr>
      </w:pPr>
      <w:r>
        <w:rPr>
          <w:rFonts w:hint="eastAsia"/>
          <w:b w:val="0"/>
          <w:bCs w:val="0"/>
          <w:kern w:val="2"/>
          <w:sz w:val="21"/>
          <w:szCs w:val="21"/>
        </w:rPr>
        <w:t>3、《</w:t>
      </w:r>
      <w:r>
        <w:rPr>
          <w:b w:val="0"/>
          <w:bCs w:val="0"/>
          <w:kern w:val="2"/>
          <w:sz w:val="21"/>
          <w:szCs w:val="21"/>
        </w:rPr>
        <w:t>外部空间设计</w:t>
      </w:r>
      <w:r>
        <w:rPr>
          <w:rFonts w:hint="eastAsia"/>
          <w:b w:val="0"/>
          <w:bCs w:val="0"/>
          <w:kern w:val="2"/>
          <w:sz w:val="21"/>
          <w:szCs w:val="21"/>
        </w:rPr>
        <w:t>》</w:t>
      </w:r>
      <w:r>
        <w:rPr>
          <w:b w:val="0"/>
          <w:bCs w:val="0"/>
          <w:kern w:val="2"/>
          <w:sz w:val="21"/>
          <w:szCs w:val="21"/>
        </w:rPr>
        <w:t>（日本著名建筑大师芦原义信经典之作！建筑＋空间的入门书籍！全新中文版经典再现！畅销30余年！）作者:</w:t>
      </w:r>
      <w:r>
        <w:fldChar w:fldCharType="begin"/>
      </w:r>
      <w:r>
        <w:instrText xml:space="preserve"> HYPERLINK "http://search.dangdang.com/?key2=%C2%AB%D4%AD%D2%E5%D0%C5&amp;medium=01&amp;category_path=01.00.00.00.00.00" </w:instrText>
      </w:r>
      <w:r>
        <w:fldChar w:fldCharType="separate"/>
      </w:r>
      <w:r>
        <w:rPr>
          <w:b w:val="0"/>
          <w:bCs w:val="0"/>
          <w:kern w:val="2"/>
          <w:sz w:val="21"/>
          <w:szCs w:val="21"/>
        </w:rPr>
        <w:t>芦原义信</w:t>
      </w:r>
      <w:r>
        <w:rPr>
          <w:b w:val="0"/>
          <w:bCs w:val="0"/>
          <w:kern w:val="2"/>
          <w:sz w:val="21"/>
          <w:szCs w:val="21"/>
        </w:rPr>
        <w:fldChar w:fldCharType="end"/>
      </w:r>
      <w:r>
        <w:rPr>
          <w:b w:val="0"/>
          <w:bCs w:val="0"/>
          <w:kern w:val="2"/>
          <w:sz w:val="21"/>
          <w:szCs w:val="21"/>
        </w:rPr>
        <w:t>出版社:</w:t>
      </w:r>
      <w:r>
        <w:fldChar w:fldCharType="begin"/>
      </w:r>
      <w:r>
        <w:instrText xml:space="preserve"> HYPERLINK "http://search.dangdang.com/?key3=%BD%AD%CB%D5%B7%EF%BB%CB%CE%C4%D2%D5%B3%F6%B0%E6%C9%E7&amp;medium=01&amp;category_path=01.00.00.00.00.00" </w:instrText>
      </w:r>
      <w:r>
        <w:fldChar w:fldCharType="separate"/>
      </w:r>
      <w:r>
        <w:rPr>
          <w:b w:val="0"/>
          <w:bCs w:val="0"/>
          <w:kern w:val="2"/>
          <w:sz w:val="21"/>
          <w:szCs w:val="21"/>
        </w:rPr>
        <w:t>江苏凤凰文艺出版社</w:t>
      </w:r>
      <w:r>
        <w:rPr>
          <w:b w:val="0"/>
          <w:bCs w:val="0"/>
          <w:kern w:val="2"/>
          <w:sz w:val="21"/>
          <w:szCs w:val="21"/>
        </w:rPr>
        <w:fldChar w:fldCharType="end"/>
      </w:r>
      <w:r>
        <w:rPr>
          <w:b w:val="0"/>
          <w:bCs w:val="0"/>
          <w:kern w:val="2"/>
          <w:sz w:val="21"/>
          <w:szCs w:val="21"/>
        </w:rPr>
        <w:t>出版时间:2017年05月</w:t>
      </w:r>
    </w:p>
    <w:p>
      <w:pPr>
        <w:pStyle w:val="2"/>
        <w:shd w:val="clear" w:color="auto" w:fill="FFFFFF"/>
        <w:spacing w:before="0" w:after="0" w:line="360" w:lineRule="atLeast"/>
        <w:rPr>
          <w:b w:val="0"/>
          <w:bCs w:val="0"/>
          <w:kern w:val="2"/>
          <w:sz w:val="21"/>
          <w:szCs w:val="21"/>
        </w:rPr>
      </w:pPr>
      <w:r>
        <w:rPr>
          <w:rFonts w:hint="eastAsia"/>
          <w:b w:val="0"/>
          <w:bCs w:val="0"/>
          <w:kern w:val="2"/>
          <w:sz w:val="21"/>
          <w:szCs w:val="21"/>
        </w:rPr>
        <w:t>4、《</w:t>
      </w:r>
      <w:r>
        <w:rPr>
          <w:b w:val="0"/>
          <w:bCs w:val="0"/>
          <w:kern w:val="2"/>
          <w:sz w:val="21"/>
          <w:szCs w:val="21"/>
        </w:rPr>
        <w:t>环境设计的思想</w:t>
      </w:r>
      <w:r>
        <w:rPr>
          <w:rFonts w:hint="eastAsia"/>
          <w:b w:val="0"/>
          <w:bCs w:val="0"/>
          <w:kern w:val="2"/>
          <w:sz w:val="21"/>
          <w:szCs w:val="21"/>
        </w:rPr>
        <w:t>》</w:t>
      </w:r>
      <w:r>
        <w:rPr>
          <w:b w:val="0"/>
          <w:bCs w:val="0"/>
          <w:kern w:val="2"/>
          <w:sz w:val="21"/>
          <w:szCs w:val="21"/>
        </w:rPr>
        <w:t>作者:（日）</w:t>
      </w:r>
      <w:r>
        <w:fldChar w:fldCharType="begin"/>
      </w:r>
      <w:r>
        <w:instrText xml:space="preserve"> HYPERLINK "http://search.dangdang.com/?key2=%C8%FD%C2%D6%D5%FD%BA%EB&amp;medium=01&amp;category_path=01.00.00.00.00.00" </w:instrText>
      </w:r>
      <w:r>
        <w:fldChar w:fldCharType="separate"/>
      </w:r>
      <w:r>
        <w:rPr>
          <w:b w:val="0"/>
          <w:bCs w:val="0"/>
          <w:kern w:val="2"/>
          <w:sz w:val="21"/>
          <w:szCs w:val="21"/>
        </w:rPr>
        <w:t>三轮正弘</w:t>
      </w:r>
      <w:r>
        <w:rPr>
          <w:b w:val="0"/>
          <w:bCs w:val="0"/>
          <w:kern w:val="2"/>
          <w:sz w:val="21"/>
          <w:szCs w:val="21"/>
        </w:rPr>
        <w:fldChar w:fldCharType="end"/>
      </w:r>
      <w:r>
        <w:rPr>
          <w:b w:val="0"/>
          <w:bCs w:val="0"/>
          <w:kern w:val="2"/>
          <w:sz w:val="21"/>
          <w:szCs w:val="21"/>
        </w:rPr>
        <w:t>出版社:</w:t>
      </w:r>
      <w:r>
        <w:fldChar w:fldCharType="begin"/>
      </w:r>
      <w:r>
        <w:instrText xml:space="preserve"> HYPERLINK "http://search.dangdang.com/?key3=%BD%AD%CB%D5%BF%C6%D1%A7%BC%BC%CA%F5%B3%F6%B0%E6%C9%E7&amp;medium=01&amp;category_path=01.00.00.00.00.00" </w:instrText>
      </w:r>
      <w:r>
        <w:fldChar w:fldCharType="separate"/>
      </w:r>
      <w:r>
        <w:rPr>
          <w:b w:val="0"/>
          <w:bCs w:val="0"/>
          <w:kern w:val="2"/>
          <w:sz w:val="21"/>
          <w:szCs w:val="21"/>
        </w:rPr>
        <w:t>江苏科学技术出版社</w:t>
      </w:r>
      <w:r>
        <w:rPr>
          <w:b w:val="0"/>
          <w:bCs w:val="0"/>
          <w:kern w:val="2"/>
          <w:sz w:val="21"/>
          <w:szCs w:val="21"/>
        </w:rPr>
        <w:fldChar w:fldCharType="end"/>
      </w:r>
      <w:r>
        <w:rPr>
          <w:b w:val="0"/>
          <w:bCs w:val="0"/>
          <w:kern w:val="2"/>
          <w:sz w:val="21"/>
          <w:szCs w:val="21"/>
        </w:rPr>
        <w:t>出版时间:2017年06月 </w:t>
      </w:r>
    </w:p>
    <w:p>
      <w:pPr>
        <w:adjustRightInd w:val="0"/>
        <w:snapToGrid w:val="0"/>
        <w:spacing w:line="360" w:lineRule="auto"/>
        <w:ind w:firstLine="420" w:firstLineChars="200"/>
      </w:pPr>
    </w:p>
    <w:p>
      <w:pPr>
        <w:adjustRightInd w:val="0"/>
        <w:snapToGrid w:val="0"/>
        <w:spacing w:line="360" w:lineRule="auto"/>
        <w:ind w:firstLine="562" w:firstLineChars="200"/>
        <w:rPr>
          <w:rFonts w:ascii="宋体" w:hAnsi="宋体" w:eastAsia="黑体"/>
          <w:b/>
          <w:bCs/>
          <w:sz w:val="28"/>
        </w:rPr>
      </w:pPr>
      <w:r>
        <w:rPr>
          <w:rFonts w:hint="eastAsia" w:ascii="黑体" w:hAnsi="宋体" w:eastAsia="黑体"/>
          <w:b/>
          <w:bCs/>
          <w:sz w:val="28"/>
        </w:rPr>
        <w:t>六、</w:t>
      </w:r>
      <w:r>
        <w:rPr>
          <w:rFonts w:hint="eastAsia" w:ascii="宋体" w:hAnsi="宋体" w:eastAsia="黑体"/>
          <w:b/>
          <w:bCs/>
          <w:sz w:val="28"/>
        </w:rPr>
        <w:t>课程的考核要求</w:t>
      </w:r>
    </w:p>
    <w:p>
      <w:pPr>
        <w:adjustRightInd w:val="0"/>
        <w:snapToGrid w:val="0"/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 xml:space="preserve">     根据本课程的特点，采取过程考核、阶段考核和调研报告总评考核相结合的方式考核学生能力，注重调研过程的认真、详细、丰富和平时表现，参考学生互评情况综合评定学习效果。</w:t>
      </w:r>
    </w:p>
    <w:p>
      <w:pPr>
        <w:widowControl/>
        <w:spacing w:line="480" w:lineRule="exact"/>
        <w:ind w:firstLine="420" w:firstLineChars="200"/>
        <w:jc w:val="left"/>
        <w:rPr>
          <w:rStyle w:val="21"/>
          <w:szCs w:val="21"/>
        </w:rPr>
      </w:pPr>
      <w:r>
        <w:rPr>
          <w:kern w:val="0"/>
          <w:szCs w:val="21"/>
        </w:rPr>
        <w:t>1、</w:t>
      </w:r>
      <w:r>
        <w:rPr>
          <w:rStyle w:val="21"/>
          <w:szCs w:val="21"/>
        </w:rPr>
        <w:t>学习过程</w:t>
      </w:r>
      <w:r>
        <w:rPr>
          <w:rStyle w:val="21"/>
          <w:rFonts w:hint="eastAsia"/>
          <w:szCs w:val="21"/>
        </w:rPr>
        <w:t>平时</w:t>
      </w:r>
      <w:r>
        <w:rPr>
          <w:rStyle w:val="21"/>
          <w:szCs w:val="21"/>
        </w:rPr>
        <w:t>考核</w:t>
      </w:r>
      <w:r>
        <w:rPr>
          <w:rStyle w:val="21"/>
          <w:rFonts w:hint="eastAsia"/>
          <w:szCs w:val="21"/>
        </w:rPr>
        <w:t>：占总分4</w:t>
      </w:r>
      <w:r>
        <w:rPr>
          <w:rStyle w:val="21"/>
          <w:szCs w:val="21"/>
        </w:rPr>
        <w:t>0%</w:t>
      </w:r>
      <w:r>
        <w:rPr>
          <w:rStyle w:val="21"/>
          <w:rFonts w:hint="eastAsia"/>
          <w:szCs w:val="21"/>
        </w:rPr>
        <w:t>；</w:t>
      </w:r>
    </w:p>
    <w:p>
      <w:pPr>
        <w:widowControl/>
        <w:spacing w:line="480" w:lineRule="exact"/>
        <w:ind w:firstLine="420" w:firstLineChars="200"/>
        <w:jc w:val="left"/>
        <w:rPr>
          <w:kern w:val="0"/>
          <w:szCs w:val="21"/>
        </w:rPr>
      </w:pPr>
      <w:r>
        <w:rPr>
          <w:rFonts w:hint="eastAsia"/>
          <w:kern w:val="0"/>
        </w:rPr>
        <w:t>2</w:t>
      </w:r>
      <w:r>
        <w:rPr>
          <w:kern w:val="0"/>
        </w:rPr>
        <w:t>、</w:t>
      </w:r>
      <w:r>
        <w:rPr>
          <w:rFonts w:hint="eastAsia"/>
          <w:kern w:val="0"/>
        </w:rPr>
        <w:t>期末考核：</w:t>
      </w:r>
      <w:r>
        <w:rPr>
          <w:rStyle w:val="21"/>
          <w:rFonts w:hint="eastAsia"/>
          <w:szCs w:val="21"/>
        </w:rPr>
        <w:t>占总分6</w:t>
      </w:r>
      <w:r>
        <w:rPr>
          <w:rStyle w:val="21"/>
          <w:szCs w:val="21"/>
        </w:rPr>
        <w:t>0%</w:t>
      </w:r>
      <w:r>
        <w:rPr>
          <w:rStyle w:val="21"/>
          <w:rFonts w:hint="eastAsia"/>
          <w:szCs w:val="21"/>
        </w:rPr>
        <w:t>，</w:t>
      </w:r>
      <w:r>
        <w:rPr>
          <w:rFonts w:hint="eastAsia"/>
          <w:kern w:val="0"/>
        </w:rPr>
        <w:t>调研报</w:t>
      </w:r>
      <w:bookmarkStart w:id="0" w:name="_GoBack"/>
      <w:bookmarkEnd w:id="0"/>
      <w:r>
        <w:rPr>
          <w:rFonts w:hint="eastAsia"/>
          <w:kern w:val="0"/>
        </w:rPr>
        <w:t>告总体质量</w:t>
      </w:r>
      <w:r>
        <w:rPr>
          <w:kern w:val="0"/>
        </w:rPr>
        <w:t>。</w:t>
      </w:r>
    </w:p>
    <w:p>
      <w:pPr>
        <w:outlineLvl w:val="0"/>
        <w:rPr>
          <w:rFonts w:ascii="黑体" w:hAnsi="宋体" w:eastAsia="黑体"/>
          <w:bCs/>
        </w:rPr>
      </w:pPr>
    </w:p>
    <w:sectPr>
      <w:footerReference r:id="rId3" w:type="default"/>
      <w:pgSz w:w="11906" w:h="16838"/>
      <w:pgMar w:top="1440" w:right="1797" w:bottom="1276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altName w:val="宋体"/>
    <w:panose1 w:val="00000000000000000000"/>
    <w:charset w:val="86"/>
    <w:family w:val="auto"/>
    <w:pitch w:val="default"/>
    <w:sig w:usb0="00000000" w:usb1="00000000" w:usb2="00000016" w:usb3="00000000" w:csb0="0004001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行楷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</w:t>
    </w:r>
    <w:r>
      <w:fldChar w:fldCharType="end"/>
    </w:r>
  </w:p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734858"/>
    <w:multiLevelType w:val="multilevel"/>
    <w:tmpl w:val="40734858"/>
    <w:lvl w:ilvl="0" w:tentative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582BC20E"/>
    <w:multiLevelType w:val="singleLevel"/>
    <w:tmpl w:val="582BC20E"/>
    <w:lvl w:ilvl="0" w:tentative="0">
      <w:start w:val="5"/>
      <w:numFmt w:val="chineseCounting"/>
      <w:suff w:val="nothing"/>
      <w:lvlText w:val="%1、"/>
      <w:lvlJc w:val="left"/>
    </w:lvl>
  </w:abstractNum>
  <w:abstractNum w:abstractNumId="2">
    <w:nsid w:val="71E82D61"/>
    <w:multiLevelType w:val="multilevel"/>
    <w:tmpl w:val="71E82D61"/>
    <w:lvl w:ilvl="0" w:tentative="0">
      <w:start w:val="1"/>
      <w:numFmt w:val="chineseCountingThousand"/>
      <w:pStyle w:val="19"/>
      <w:lvlText w:val="%1、"/>
      <w:lvlJc w:val="left"/>
      <w:pPr>
        <w:tabs>
          <w:tab w:val="left" w:pos="630"/>
        </w:tabs>
        <w:ind w:left="630" w:hanging="420"/>
      </w:pPr>
      <w:rPr>
        <w:lang w:val="en-US"/>
      </w:rPr>
    </w:lvl>
    <w:lvl w:ilvl="1" w:tentative="0">
      <w:start w:val="1"/>
      <w:numFmt w:val="ideographEnclosedCircle"/>
      <w:lvlText w:val="%2、"/>
      <w:lvlJc w:val="left"/>
      <w:pPr>
        <w:tabs>
          <w:tab w:val="left" w:pos="1110"/>
        </w:tabs>
        <w:ind w:left="1110" w:hanging="48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470"/>
        </w:tabs>
        <w:ind w:left="1470" w:hanging="420"/>
      </w:pPr>
    </w:lvl>
    <w:lvl w:ilvl="3" w:tentative="0">
      <w:start w:val="1"/>
      <w:numFmt w:val="decimal"/>
      <w:lvlText w:val="%4."/>
      <w:lvlJc w:val="left"/>
      <w:pPr>
        <w:tabs>
          <w:tab w:val="left" w:pos="1890"/>
        </w:tabs>
        <w:ind w:left="189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310"/>
        </w:tabs>
        <w:ind w:left="231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730"/>
        </w:tabs>
        <w:ind w:left="2730" w:hanging="420"/>
      </w:pPr>
    </w:lvl>
    <w:lvl w:ilvl="6" w:tentative="0">
      <w:start w:val="1"/>
      <w:numFmt w:val="decimal"/>
      <w:lvlText w:val="%7."/>
      <w:lvlJc w:val="left"/>
      <w:pPr>
        <w:tabs>
          <w:tab w:val="left" w:pos="3150"/>
        </w:tabs>
        <w:ind w:left="315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570"/>
        </w:tabs>
        <w:ind w:left="357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990"/>
        </w:tabs>
        <w:ind w:left="399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DED"/>
    <w:rsid w:val="00000DA7"/>
    <w:rsid w:val="000063AA"/>
    <w:rsid w:val="000111C1"/>
    <w:rsid w:val="00017760"/>
    <w:rsid w:val="00017F53"/>
    <w:rsid w:val="00040A81"/>
    <w:rsid w:val="0005720D"/>
    <w:rsid w:val="00090472"/>
    <w:rsid w:val="000917F0"/>
    <w:rsid w:val="000C5426"/>
    <w:rsid w:val="000F38AD"/>
    <w:rsid w:val="00101D3C"/>
    <w:rsid w:val="0010267C"/>
    <w:rsid w:val="00107A3A"/>
    <w:rsid w:val="001107EE"/>
    <w:rsid w:val="0011399A"/>
    <w:rsid w:val="00121F89"/>
    <w:rsid w:val="001221C1"/>
    <w:rsid w:val="0014357D"/>
    <w:rsid w:val="001437FC"/>
    <w:rsid w:val="001575D1"/>
    <w:rsid w:val="001764AC"/>
    <w:rsid w:val="001865B8"/>
    <w:rsid w:val="001C310A"/>
    <w:rsid w:val="001E5C6F"/>
    <w:rsid w:val="001E7AAF"/>
    <w:rsid w:val="00250B6C"/>
    <w:rsid w:val="00256CCD"/>
    <w:rsid w:val="00257FE1"/>
    <w:rsid w:val="00261138"/>
    <w:rsid w:val="00273ECB"/>
    <w:rsid w:val="002829FF"/>
    <w:rsid w:val="00291E14"/>
    <w:rsid w:val="002975B4"/>
    <w:rsid w:val="002A62CE"/>
    <w:rsid w:val="002A67EA"/>
    <w:rsid w:val="002A7D1F"/>
    <w:rsid w:val="002B331E"/>
    <w:rsid w:val="002F6834"/>
    <w:rsid w:val="002F7DEE"/>
    <w:rsid w:val="003121C3"/>
    <w:rsid w:val="0034551F"/>
    <w:rsid w:val="00346458"/>
    <w:rsid w:val="003471D7"/>
    <w:rsid w:val="00352380"/>
    <w:rsid w:val="00356313"/>
    <w:rsid w:val="0036098A"/>
    <w:rsid w:val="00377104"/>
    <w:rsid w:val="00387E56"/>
    <w:rsid w:val="0039166D"/>
    <w:rsid w:val="003D2109"/>
    <w:rsid w:val="003E191F"/>
    <w:rsid w:val="003F2012"/>
    <w:rsid w:val="003F5AF7"/>
    <w:rsid w:val="00407041"/>
    <w:rsid w:val="004102D8"/>
    <w:rsid w:val="00412AE6"/>
    <w:rsid w:val="00412AF9"/>
    <w:rsid w:val="00417DCD"/>
    <w:rsid w:val="0044297F"/>
    <w:rsid w:val="004450FB"/>
    <w:rsid w:val="00451774"/>
    <w:rsid w:val="00463C4B"/>
    <w:rsid w:val="004B2ED1"/>
    <w:rsid w:val="004B4B1A"/>
    <w:rsid w:val="004C5232"/>
    <w:rsid w:val="004E5D71"/>
    <w:rsid w:val="004F0B86"/>
    <w:rsid w:val="00500628"/>
    <w:rsid w:val="00511072"/>
    <w:rsid w:val="00511B34"/>
    <w:rsid w:val="00513527"/>
    <w:rsid w:val="005146E4"/>
    <w:rsid w:val="00525B02"/>
    <w:rsid w:val="005633E2"/>
    <w:rsid w:val="005712B7"/>
    <w:rsid w:val="0059179A"/>
    <w:rsid w:val="005A4174"/>
    <w:rsid w:val="005B714B"/>
    <w:rsid w:val="005D0A76"/>
    <w:rsid w:val="005E028E"/>
    <w:rsid w:val="005E065F"/>
    <w:rsid w:val="00605BF0"/>
    <w:rsid w:val="00606417"/>
    <w:rsid w:val="0063030A"/>
    <w:rsid w:val="00642381"/>
    <w:rsid w:val="00674018"/>
    <w:rsid w:val="00680407"/>
    <w:rsid w:val="00687D4D"/>
    <w:rsid w:val="006A7DED"/>
    <w:rsid w:val="007102FA"/>
    <w:rsid w:val="00710EFA"/>
    <w:rsid w:val="00711F80"/>
    <w:rsid w:val="00721F15"/>
    <w:rsid w:val="00727EDC"/>
    <w:rsid w:val="007334A5"/>
    <w:rsid w:val="00746CFD"/>
    <w:rsid w:val="00752AA3"/>
    <w:rsid w:val="00766BC0"/>
    <w:rsid w:val="0077785D"/>
    <w:rsid w:val="007D068D"/>
    <w:rsid w:val="007D0DDD"/>
    <w:rsid w:val="007E1B8E"/>
    <w:rsid w:val="00811DD0"/>
    <w:rsid w:val="008326A3"/>
    <w:rsid w:val="00843EE1"/>
    <w:rsid w:val="0086070A"/>
    <w:rsid w:val="00866B03"/>
    <w:rsid w:val="008B6DDA"/>
    <w:rsid w:val="008B7885"/>
    <w:rsid w:val="008C1A26"/>
    <w:rsid w:val="008C6C06"/>
    <w:rsid w:val="008E0F93"/>
    <w:rsid w:val="008F33C6"/>
    <w:rsid w:val="008F4006"/>
    <w:rsid w:val="00932647"/>
    <w:rsid w:val="009779E9"/>
    <w:rsid w:val="00987926"/>
    <w:rsid w:val="009A4D99"/>
    <w:rsid w:val="009D0DD6"/>
    <w:rsid w:val="009D6567"/>
    <w:rsid w:val="009F3A2F"/>
    <w:rsid w:val="00A007D0"/>
    <w:rsid w:val="00A11C2F"/>
    <w:rsid w:val="00A32AE8"/>
    <w:rsid w:val="00A33273"/>
    <w:rsid w:val="00A4316A"/>
    <w:rsid w:val="00A51A88"/>
    <w:rsid w:val="00A60FA2"/>
    <w:rsid w:val="00A66C0B"/>
    <w:rsid w:val="00A952BC"/>
    <w:rsid w:val="00AB7A88"/>
    <w:rsid w:val="00AC0D66"/>
    <w:rsid w:val="00AC5451"/>
    <w:rsid w:val="00AC7778"/>
    <w:rsid w:val="00AD781F"/>
    <w:rsid w:val="00B21C22"/>
    <w:rsid w:val="00B47BEB"/>
    <w:rsid w:val="00B5088C"/>
    <w:rsid w:val="00B6382A"/>
    <w:rsid w:val="00B63FBB"/>
    <w:rsid w:val="00B71894"/>
    <w:rsid w:val="00B73D5C"/>
    <w:rsid w:val="00BC39B6"/>
    <w:rsid w:val="00BC3DE5"/>
    <w:rsid w:val="00BD3A23"/>
    <w:rsid w:val="00BD6E81"/>
    <w:rsid w:val="00BE0E87"/>
    <w:rsid w:val="00BE771D"/>
    <w:rsid w:val="00BF3DC4"/>
    <w:rsid w:val="00C160DE"/>
    <w:rsid w:val="00C16264"/>
    <w:rsid w:val="00C47C61"/>
    <w:rsid w:val="00C631E8"/>
    <w:rsid w:val="00C73790"/>
    <w:rsid w:val="00CA7A71"/>
    <w:rsid w:val="00CB6585"/>
    <w:rsid w:val="00CC3898"/>
    <w:rsid w:val="00CC6953"/>
    <w:rsid w:val="00CD41AF"/>
    <w:rsid w:val="00D377DF"/>
    <w:rsid w:val="00D42589"/>
    <w:rsid w:val="00D4355B"/>
    <w:rsid w:val="00D45F58"/>
    <w:rsid w:val="00D66B35"/>
    <w:rsid w:val="00D84BA4"/>
    <w:rsid w:val="00DA591A"/>
    <w:rsid w:val="00DB422B"/>
    <w:rsid w:val="00DE1AA0"/>
    <w:rsid w:val="00DF63EB"/>
    <w:rsid w:val="00E016B1"/>
    <w:rsid w:val="00E1000D"/>
    <w:rsid w:val="00E10B35"/>
    <w:rsid w:val="00E327CB"/>
    <w:rsid w:val="00E37FFB"/>
    <w:rsid w:val="00E41CA5"/>
    <w:rsid w:val="00E47C50"/>
    <w:rsid w:val="00E550CB"/>
    <w:rsid w:val="00E551E5"/>
    <w:rsid w:val="00E67665"/>
    <w:rsid w:val="00E70086"/>
    <w:rsid w:val="00E7085C"/>
    <w:rsid w:val="00E71E46"/>
    <w:rsid w:val="00EA60AF"/>
    <w:rsid w:val="00EB1027"/>
    <w:rsid w:val="00ED57CB"/>
    <w:rsid w:val="00EE0F3B"/>
    <w:rsid w:val="00EE42AC"/>
    <w:rsid w:val="00F12CB7"/>
    <w:rsid w:val="00F174FA"/>
    <w:rsid w:val="00F34B93"/>
    <w:rsid w:val="00F516A3"/>
    <w:rsid w:val="00F7717B"/>
    <w:rsid w:val="00FA149A"/>
    <w:rsid w:val="00FC5B8D"/>
    <w:rsid w:val="0B0B3EB8"/>
    <w:rsid w:val="1265347F"/>
    <w:rsid w:val="15931B28"/>
    <w:rsid w:val="166A5654"/>
    <w:rsid w:val="1D571676"/>
    <w:rsid w:val="1FC94D99"/>
    <w:rsid w:val="20331C42"/>
    <w:rsid w:val="2B523041"/>
    <w:rsid w:val="34B06FE9"/>
    <w:rsid w:val="3A522E46"/>
    <w:rsid w:val="3BA40F15"/>
    <w:rsid w:val="3F214559"/>
    <w:rsid w:val="40B926FC"/>
    <w:rsid w:val="422E17B6"/>
    <w:rsid w:val="4D1C5AFF"/>
    <w:rsid w:val="4D646AF3"/>
    <w:rsid w:val="4EB40B8C"/>
    <w:rsid w:val="50642D26"/>
    <w:rsid w:val="52E6368D"/>
    <w:rsid w:val="5AEA51A6"/>
    <w:rsid w:val="69CB1806"/>
    <w:rsid w:val="6F4550FB"/>
    <w:rsid w:val="7BA66235"/>
    <w:rsid w:val="7E244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qFormat/>
    <w:uiPriority w:val="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qFormat/>
    <w:uiPriority w:val="0"/>
    <w:pPr>
      <w:spacing w:before="100" w:beforeAutospacing="1" w:after="100" w:afterAutospacing="1" w:line="440" w:lineRule="exact"/>
      <w:ind w:firstLine="720" w:firstLineChars="300"/>
      <w:jc w:val="left"/>
    </w:pPr>
    <w:rPr>
      <w:sz w:val="24"/>
    </w:rPr>
  </w:style>
  <w:style w:type="paragraph" w:styleId="5">
    <w:name w:val="Date"/>
    <w:basedOn w:val="1"/>
    <w:next w:val="1"/>
    <w:qFormat/>
    <w:uiPriority w:val="0"/>
    <w:pPr>
      <w:ind w:left="100" w:leftChars="2500"/>
    </w:pPr>
    <w:rPr>
      <w:rFonts w:eastAsia="华文楷体"/>
      <w:sz w:val="28"/>
    </w:r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widowControl/>
      <w:jc w:val="left"/>
    </w:pPr>
    <w:rPr>
      <w:rFonts w:ascii="Verdana" w:hAnsi="Verdana" w:cs="宋体"/>
      <w:color w:val="000000"/>
      <w:kern w:val="0"/>
      <w:sz w:val="18"/>
      <w:szCs w:val="18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22"/>
    <w:rPr>
      <w:b/>
      <w:bCs/>
    </w:rPr>
  </w:style>
  <w:style w:type="character" w:styleId="14">
    <w:name w:val="page number"/>
    <w:basedOn w:val="12"/>
    <w:qFormat/>
    <w:uiPriority w:val="0"/>
  </w:style>
  <w:style w:type="character" w:styleId="15">
    <w:name w:val="Hyperlink"/>
    <w:qFormat/>
    <w:uiPriority w:val="0"/>
    <w:rPr>
      <w:color w:val="000000"/>
      <w:u w:val="none"/>
    </w:rPr>
  </w:style>
  <w:style w:type="character" w:customStyle="1" w:styleId="16">
    <w:name w:val="页脚字符"/>
    <w:link w:val="7"/>
    <w:qFormat/>
    <w:uiPriority w:val="99"/>
    <w:rPr>
      <w:kern w:val="2"/>
      <w:sz w:val="18"/>
      <w:szCs w:val="18"/>
    </w:rPr>
  </w:style>
  <w:style w:type="character" w:customStyle="1" w:styleId="17">
    <w:name w:val="yongri_newsarticles_title1"/>
    <w:qFormat/>
    <w:uiPriority w:val="0"/>
    <w:rPr>
      <w:rFonts w:ascii="Tahoma" w:hAnsi="Tahoma"/>
      <w:b/>
      <w:sz w:val="27"/>
    </w:rPr>
  </w:style>
  <w:style w:type="character" w:customStyle="1" w:styleId="18">
    <w:name w:val="neirong1"/>
    <w:qFormat/>
    <w:uiPriority w:val="0"/>
    <w:rPr>
      <w:color w:val="333333"/>
      <w:sz w:val="18"/>
      <w:szCs w:val="18"/>
    </w:rPr>
  </w:style>
  <w:style w:type="paragraph" w:customStyle="1" w:styleId="19">
    <w:name w:val="样式1"/>
    <w:basedOn w:val="1"/>
    <w:semiHidden/>
    <w:qFormat/>
    <w:uiPriority w:val="0"/>
    <w:pPr>
      <w:numPr>
        <w:ilvl w:val="0"/>
        <w:numId w:val="1"/>
      </w:numPr>
      <w:jc w:val="left"/>
    </w:pPr>
    <w:rPr>
      <w:rFonts w:eastAsia="黑体"/>
      <w:b/>
      <w:sz w:val="24"/>
    </w:rPr>
  </w:style>
  <w:style w:type="character" w:customStyle="1" w:styleId="20">
    <w:name w:val="标题 1字符"/>
    <w:basedOn w:val="12"/>
    <w:link w:val="2"/>
    <w:uiPriority w:val="0"/>
    <w:rPr>
      <w:b/>
      <w:bCs/>
      <w:kern w:val="44"/>
      <w:sz w:val="44"/>
      <w:szCs w:val="44"/>
    </w:rPr>
  </w:style>
  <w:style w:type="character" w:customStyle="1" w:styleId="21">
    <w:name w:val="apple-style-span"/>
    <w:basedOn w:val="12"/>
    <w:qFormat/>
    <w:uiPriority w:val="0"/>
  </w:style>
  <w:style w:type="paragraph" w:styleId="22">
    <w:name w:val="List Paragraph"/>
    <w:basedOn w:val="1"/>
    <w:uiPriority w:val="99"/>
    <w:pPr>
      <w:ind w:firstLine="420" w:firstLineChars="200"/>
    </w:pPr>
  </w:style>
  <w:style w:type="character" w:customStyle="1" w:styleId="23">
    <w:name w:val="a-size-large"/>
    <w:basedOn w:val="12"/>
    <w:uiPriority w:val="0"/>
  </w:style>
  <w:style w:type="character" w:customStyle="1" w:styleId="24">
    <w:name w:val="author"/>
    <w:basedOn w:val="12"/>
    <w:uiPriority w:val="0"/>
  </w:style>
  <w:style w:type="character" w:customStyle="1" w:styleId="25">
    <w:name w:val="apple-converted-space"/>
    <w:basedOn w:val="12"/>
    <w:uiPriority w:val="0"/>
  </w:style>
  <w:style w:type="character" w:customStyle="1" w:styleId="26">
    <w:name w:val="a-color-secondary"/>
    <w:basedOn w:val="12"/>
    <w:uiPriority w:val="0"/>
  </w:style>
  <w:style w:type="character" w:customStyle="1" w:styleId="27">
    <w:name w:val="more"/>
    <w:basedOn w:val="12"/>
    <w:uiPriority w:val="0"/>
  </w:style>
  <w:style w:type="character" w:customStyle="1" w:styleId="28">
    <w:name w:val="morecount"/>
    <w:basedOn w:val="12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518</Words>
  <Characters>2959</Characters>
  <Lines>24</Lines>
  <Paragraphs>6</Paragraphs>
  <TotalTime>51</TotalTime>
  <ScaleCrop>false</ScaleCrop>
  <LinksUpToDate>false</LinksUpToDate>
  <CharactersWithSpaces>3471</CharactersWithSpaces>
  <Application>WPS Office_11.1.0.9022_F1E327BC-269C-435d-A152-05C5408002CA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2018-09-07T06:38:00Z</dcterms:created>
  <dc:creator>微软用户</dc:creator>
  <cp:lastModifiedBy>陈良梅</cp:lastModifiedBy>
  <cp:lastPrinted>2016-03-29T07:16:00Z</cp:lastPrinted>
  <dcterms:modified xsi:type="dcterms:W3CDTF">2019-10-11T06:03:08Z</dcterms:modified>
  <dc:title>应教字 [2008] 14号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2052-11.1.0.9022</vt:lpwstr>
  </property>
  <property fmtid="{D5CDD505-2E9C-101B-9397-08002B2CF9AE}" pid="3" name="KSORubyTemplateID" linkTarget="0">
    <vt:lpwstr>6</vt:lpwstr>
  </property>
</Properties>
</file>