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《景观工程与植物调研》教学大纲</w:t>
      </w:r>
    </w:p>
    <w:p>
      <w:pPr>
        <w:adjustRightInd w:val="0"/>
        <w:snapToGrid w:val="0"/>
        <w:jc w:val="center"/>
        <w:rPr>
          <w:rFonts w:ascii="宋体" w:hAnsi="宋体"/>
          <w:sz w:val="44"/>
          <w:szCs w:val="44"/>
        </w:rPr>
      </w:pPr>
    </w:p>
    <w:p>
      <w:pPr>
        <w:tabs>
          <w:tab w:val="center" w:pos="4153"/>
          <w:tab w:val="left" w:pos="6999"/>
        </w:tabs>
        <w:adjustRightInd w:val="0"/>
        <w:snapToGrid w:val="0"/>
        <w:spacing w:line="360" w:lineRule="auto"/>
        <w:jc w:val="left"/>
        <w:rPr>
          <w:rFonts w:ascii="黑体" w:eastAsia="黑体"/>
          <w:b/>
          <w:bCs/>
          <w:sz w:val="44"/>
          <w:szCs w:val="44"/>
        </w:rPr>
      </w:pPr>
    </w:p>
    <w:p>
      <w:pPr>
        <w:tabs>
          <w:tab w:val="center" w:pos="4153"/>
          <w:tab w:val="left" w:pos="6999"/>
        </w:tabs>
        <w:adjustRightInd w:val="0"/>
        <w:snapToGrid w:val="0"/>
        <w:spacing w:line="360" w:lineRule="auto"/>
        <w:jc w:val="center"/>
        <w:rPr>
          <w:rFonts w:ascii="黑体" w:eastAsia="黑体"/>
          <w:b/>
          <w:bCs/>
          <w:szCs w:val="21"/>
        </w:rPr>
      </w:pPr>
      <w:r>
        <w:rPr>
          <w:rFonts w:hint="eastAsia" w:ascii="黑体" w:eastAsia="黑体"/>
          <w:b/>
          <w:bCs/>
          <w:sz w:val="36"/>
          <w:szCs w:val="36"/>
        </w:rPr>
        <w:t>（</w:t>
      </w:r>
      <w:r>
        <w:rPr>
          <w:b/>
          <w:sz w:val="36"/>
          <w:szCs w:val="36"/>
        </w:rPr>
        <w:t>Landscape Engineering and Plant Research</w:t>
      </w:r>
      <w:r>
        <w:rPr>
          <w:rFonts w:hint="eastAsia" w:ascii="黑体" w:eastAsia="黑体"/>
          <w:b/>
          <w:bCs/>
          <w:sz w:val="36"/>
          <w:szCs w:val="36"/>
        </w:rPr>
        <w:t>）</w:t>
      </w: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ind w:firstLine="2700" w:firstLineChars="900"/>
        <w:rPr>
          <w:rFonts w:eastAsia="黑体"/>
          <w:sz w:val="30"/>
        </w:rPr>
      </w:pPr>
      <w:r>
        <w:rPr>
          <w:rFonts w:hint="eastAsia" w:eastAsia="黑体"/>
          <w:sz w:val="30"/>
        </w:rPr>
        <w:t>制定单位：</w:t>
      </w:r>
      <w:r>
        <w:rPr>
          <w:rFonts w:hint="eastAsia" w:ascii="宋体" w:hAnsi="宋体"/>
          <w:color w:val="000000"/>
          <w:sz w:val="30"/>
        </w:rPr>
        <w:t>艺术设计学院</w:t>
      </w:r>
    </w:p>
    <w:p>
      <w:pPr>
        <w:adjustRightInd w:val="0"/>
        <w:snapToGrid w:val="0"/>
        <w:spacing w:line="360" w:lineRule="auto"/>
        <w:ind w:firstLine="2700" w:firstLineChars="900"/>
        <w:rPr>
          <w:rFonts w:eastAsia="黑体"/>
          <w:color w:val="000000"/>
          <w:sz w:val="30"/>
        </w:rPr>
      </w:pPr>
      <w:r>
        <w:rPr>
          <w:rFonts w:hint="eastAsia" w:eastAsia="黑体"/>
          <w:color w:val="000000"/>
          <w:sz w:val="30"/>
        </w:rPr>
        <w:t>制 定 人：</w:t>
      </w:r>
      <w:r>
        <w:rPr>
          <w:rFonts w:hint="eastAsia" w:ascii="宋体" w:hAnsi="宋体"/>
          <w:color w:val="000000"/>
          <w:sz w:val="30"/>
        </w:rPr>
        <w:t>吕游</w:t>
      </w:r>
    </w:p>
    <w:p>
      <w:pPr>
        <w:adjustRightInd w:val="0"/>
        <w:snapToGrid w:val="0"/>
        <w:spacing w:line="360" w:lineRule="auto"/>
        <w:ind w:firstLine="2700" w:firstLineChars="900"/>
        <w:rPr>
          <w:rFonts w:eastAsia="黑体"/>
          <w:color w:val="000000"/>
          <w:sz w:val="30"/>
        </w:rPr>
      </w:pPr>
      <w:r>
        <w:rPr>
          <w:rFonts w:hint="eastAsia" w:eastAsia="黑体"/>
          <w:color w:val="000000"/>
          <w:sz w:val="30"/>
        </w:rPr>
        <w:t>审 核 人：</w:t>
      </w:r>
      <w:r>
        <w:rPr>
          <w:rFonts w:hint="eastAsia" w:ascii="宋体" w:hAnsi="宋体"/>
          <w:color w:val="000000"/>
          <w:sz w:val="30"/>
        </w:rPr>
        <w:t>吕游</w:t>
      </w:r>
    </w:p>
    <w:p>
      <w:pPr>
        <w:adjustRightInd w:val="0"/>
        <w:snapToGrid w:val="0"/>
        <w:spacing w:line="360" w:lineRule="auto"/>
        <w:ind w:firstLine="2700" w:firstLineChars="900"/>
        <w:rPr>
          <w:rFonts w:ascii="黑体" w:eastAsia="黑体"/>
          <w:b/>
          <w:bCs/>
          <w:szCs w:val="21"/>
        </w:rPr>
      </w:pPr>
      <w:r>
        <w:rPr>
          <w:rFonts w:hint="eastAsia" w:eastAsia="黑体"/>
          <w:sz w:val="30"/>
        </w:rPr>
        <w:t>编写时间：</w:t>
      </w:r>
      <w:r>
        <w:rPr>
          <w:rFonts w:hint="eastAsia" w:ascii="宋体" w:hAnsi="宋体"/>
          <w:sz w:val="30"/>
        </w:rPr>
        <w:t>2019年05月10日</w:t>
      </w:r>
    </w:p>
    <w:p>
      <w:pPr>
        <w:adjustRightInd w:val="0"/>
        <w:snapToGrid w:val="0"/>
        <w:spacing w:line="360" w:lineRule="auto"/>
        <w:rPr>
          <w:rFonts w:ascii="黑体" w:hAnsi="宋体" w:eastAsia="黑体"/>
          <w:b/>
        </w:rPr>
      </w:pPr>
    </w:p>
    <w:p>
      <w:pPr>
        <w:adjustRightInd w:val="0"/>
        <w:snapToGrid w:val="0"/>
        <w:spacing w:line="360" w:lineRule="auto"/>
        <w:rPr>
          <w:rFonts w:ascii="黑体" w:hAnsi="宋体" w:eastAsia="黑体"/>
          <w:b/>
        </w:rPr>
      </w:pPr>
    </w:p>
    <w:p>
      <w:pPr>
        <w:adjustRightInd w:val="0"/>
        <w:snapToGrid w:val="0"/>
        <w:spacing w:line="360" w:lineRule="auto"/>
        <w:rPr>
          <w:rFonts w:ascii="黑体" w:hAnsi="宋体" w:eastAsia="黑体"/>
          <w:b/>
        </w:rPr>
      </w:pP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课程说明</w:t>
      </w:r>
    </w:p>
    <w:p>
      <w:pPr>
        <w:adjustRightInd w:val="0"/>
        <w:snapToGrid w:val="0"/>
        <w:spacing w:line="360" w:lineRule="auto"/>
        <w:ind w:firstLine="562" w:firstLineChars="200"/>
        <w:rPr>
          <w:rFonts w:ascii="黑体" w:hAnsi="宋体" w:eastAsia="黑体"/>
          <w:b/>
          <w:sz w:val="28"/>
        </w:rPr>
      </w:pPr>
      <w:r>
        <w:rPr>
          <w:rFonts w:hint="eastAsia" w:ascii="黑体" w:hAnsi="宋体" w:eastAsia="黑体"/>
          <w:b/>
          <w:sz w:val="28"/>
        </w:rPr>
        <w:t>一、课程概述：</w:t>
      </w:r>
    </w:p>
    <w:p>
      <w:pPr>
        <w:adjustRightInd w:val="0"/>
        <w:snapToGrid w:val="0"/>
        <w:spacing w:line="360" w:lineRule="auto"/>
        <w:ind w:firstLine="480" w:firstLineChars="200"/>
        <w:rPr>
          <w:rFonts w:ascii="宋体" w:hAnsi="宋体" w:eastAsia="黑体"/>
          <w:bCs/>
          <w:sz w:val="24"/>
        </w:rPr>
      </w:pPr>
      <w:r>
        <w:rPr>
          <w:rFonts w:hint="eastAsia" w:ascii="黑体" w:hAnsi="宋体" w:eastAsia="黑体"/>
          <w:bCs/>
          <w:sz w:val="24"/>
        </w:rPr>
        <w:t>（一）</w:t>
      </w:r>
      <w:r>
        <w:rPr>
          <w:rFonts w:hint="eastAsia" w:eastAsia="黑体"/>
          <w:bCs/>
          <w:sz w:val="24"/>
        </w:rPr>
        <w:t>课</w:t>
      </w:r>
      <w:r>
        <w:rPr>
          <w:rFonts w:hint="eastAsia" w:ascii="宋体" w:hAnsi="宋体" w:eastAsia="黑体"/>
          <w:bCs/>
          <w:sz w:val="24"/>
        </w:rPr>
        <w:t>程属性及课程介绍</w:t>
      </w:r>
    </w:p>
    <w:p>
      <w:pPr>
        <w:spacing w:line="460" w:lineRule="exact"/>
        <w:ind w:firstLine="420" w:firstLineChars="200"/>
        <w:rPr>
          <w:rFonts w:ascii="宋体" w:hAnsi="宋体" w:cs="宋体"/>
          <w:color w:val="000000"/>
          <w:kern w:val="0"/>
          <w:szCs w:val="21"/>
        </w:rPr>
      </w:pPr>
      <w:r>
        <w:rPr>
          <w:rFonts w:ascii="宋体" w:hAnsi="宋体" w:cs="宋体"/>
          <w:color w:val="000000"/>
          <w:kern w:val="0"/>
          <w:szCs w:val="21"/>
        </w:rPr>
        <w:t>《</w:t>
      </w:r>
      <w:r>
        <w:rPr>
          <w:rFonts w:hint="eastAsia" w:ascii="宋体" w:hAnsi="宋体" w:cs="宋体"/>
          <w:color w:val="000000"/>
          <w:kern w:val="0"/>
          <w:szCs w:val="21"/>
        </w:rPr>
        <w:t>景观工程与植物调研</w:t>
      </w:r>
      <w:r>
        <w:rPr>
          <w:rFonts w:ascii="宋体" w:hAnsi="宋体" w:cs="宋体"/>
          <w:color w:val="000000"/>
          <w:kern w:val="0"/>
          <w:szCs w:val="21"/>
        </w:rPr>
        <w:t>》是</w:t>
      </w:r>
      <w:r>
        <w:rPr>
          <w:rFonts w:hint="eastAsia" w:ascii="宋体" w:hAnsi="宋体" w:cs="宋体"/>
          <w:color w:val="000000"/>
          <w:kern w:val="0"/>
          <w:szCs w:val="21"/>
        </w:rPr>
        <w:t>环境设计专业</w:t>
      </w:r>
      <w:r>
        <w:rPr>
          <w:rFonts w:hint="eastAsia" w:ascii="宋体" w:hAnsi="宋体" w:cs="宋体"/>
          <w:color w:val="000000"/>
          <w:kern w:val="0"/>
          <w:szCs w:val="21"/>
          <w:lang w:eastAsia="zh-CN"/>
        </w:rPr>
        <w:t>（</w:t>
      </w:r>
      <w:r>
        <w:rPr>
          <w:rFonts w:hint="eastAsia" w:ascii="宋体" w:hAnsi="宋体" w:cs="宋体"/>
          <w:color w:val="000000"/>
          <w:kern w:val="0"/>
          <w:szCs w:val="21"/>
        </w:rPr>
        <w:t>景观方向</w:t>
      </w:r>
      <w:r>
        <w:rPr>
          <w:rFonts w:hint="eastAsia" w:ascii="宋体" w:hAnsi="宋体" w:cs="宋体"/>
          <w:color w:val="000000"/>
          <w:kern w:val="0"/>
          <w:szCs w:val="21"/>
          <w:lang w:eastAsia="zh-CN"/>
        </w:rPr>
        <w:t>）实践教学环节必修课</w:t>
      </w:r>
      <w:r>
        <w:rPr>
          <w:rFonts w:hint="eastAsia" w:ascii="宋体" w:hAnsi="宋体" w:cs="宋体"/>
          <w:color w:val="000000"/>
          <w:kern w:val="0"/>
          <w:szCs w:val="21"/>
        </w:rPr>
        <w:t>，对于景观施工、景观植物设计进行调研、了解以及学习积累的一门实践调研类课程。旨在让学生了解掌握景观施工、景观植物特点、类型、作用、空间布置等。从而为今后的专业课程打下基础。</w:t>
      </w:r>
    </w:p>
    <w:p>
      <w:pPr>
        <w:spacing w:line="460" w:lineRule="exact"/>
        <w:ind w:firstLine="420" w:firstLineChars="200"/>
        <w:rPr>
          <w:rFonts w:ascii="宋体" w:hAnsi="宋体"/>
        </w:rPr>
      </w:pP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（二）教学目标</w:t>
      </w:r>
    </w:p>
    <w:p>
      <w:pPr>
        <w:spacing w:line="460" w:lineRule="exact"/>
        <w:ind w:firstLine="420" w:firstLineChars="200"/>
        <w:rPr>
          <w:rFonts w:ascii="宋体" w:hAnsi="宋体" w:cs="宋体"/>
          <w:color w:val="000000"/>
          <w:kern w:val="0"/>
          <w:szCs w:val="21"/>
        </w:rPr>
      </w:pPr>
      <w:r>
        <w:rPr>
          <w:rFonts w:hint="eastAsia"/>
          <w:szCs w:val="21"/>
        </w:rPr>
        <w:t>通过本课程的调研学习，让学生在《景观工程与施工图》、《植物设计》课程内容构成的基础上，对景观工程以及植物种类进行初步探知，使学生能够实际感知景观工程以及植物种类的相关内容、作用和呈现效果。从而能够进行学习积累，建立对景观工程施工的客观认识且能够在今后的专业学习中逐步得到拓展，从而在专业积累的基础上具有可持续发展的潜能。</w:t>
      </w:r>
    </w:p>
    <w:p>
      <w:pPr>
        <w:spacing w:line="360" w:lineRule="exact"/>
        <w:rPr>
          <w:rFonts w:ascii="宋体" w:hAnsi="宋体"/>
          <w:b/>
          <w:szCs w:val="21"/>
        </w:rPr>
      </w:pP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（三）适用对象</w:t>
      </w:r>
    </w:p>
    <w:p>
      <w:pPr>
        <w:adjustRightInd w:val="0"/>
        <w:snapToGrid w:val="0"/>
        <w:spacing w:line="360" w:lineRule="auto"/>
        <w:ind w:firstLine="1050" w:firstLineChars="500"/>
        <w:rPr>
          <w:rFonts w:ascii="宋体" w:hAnsi="宋体"/>
        </w:rPr>
      </w:pPr>
      <w:r>
        <w:rPr>
          <w:rFonts w:hint="eastAsia" w:ascii="宋体" w:hAnsi="宋体"/>
          <w:lang w:val="zh-CN"/>
        </w:rPr>
        <w:t>艺术设计类本科专业（环境设计景观设计方向）</w:t>
      </w: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（四）先修课程与后续课程</w:t>
      </w:r>
    </w:p>
    <w:p>
      <w:pPr>
        <w:spacing w:line="460" w:lineRule="exact"/>
        <w:ind w:firstLine="420" w:firstLineChars="200"/>
        <w:rPr>
          <w:rFonts w:ascii="宋体" w:hAnsi="宋体"/>
        </w:rPr>
      </w:pPr>
      <w:r>
        <w:rPr>
          <w:rFonts w:hint="eastAsia" w:ascii="宋体" w:hAnsi="宋体"/>
        </w:rPr>
        <w:t>先修课程：《景观设计原理》、《古典园林设计》、《植物设计》等</w:t>
      </w:r>
    </w:p>
    <w:p>
      <w:pPr>
        <w:spacing w:line="460" w:lineRule="exact"/>
        <w:ind w:firstLine="420" w:firstLineChars="200"/>
        <w:rPr>
          <w:rFonts w:ascii="宋体" w:hAnsi="宋体"/>
        </w:rPr>
      </w:pPr>
      <w:r>
        <w:rPr>
          <w:rFonts w:hint="eastAsia" w:ascii="宋体" w:hAnsi="宋体"/>
        </w:rPr>
        <w:t>后续课程：《滨水景观设计》、《商业空间景观设计》 等</w:t>
      </w:r>
    </w:p>
    <w:p>
      <w:pPr>
        <w:adjustRightInd w:val="0"/>
        <w:snapToGrid w:val="0"/>
        <w:spacing w:line="360" w:lineRule="auto"/>
        <w:ind w:firstLine="1050" w:firstLineChars="500"/>
        <w:rPr>
          <w:rFonts w:ascii="宋体" w:hAnsi="宋体"/>
        </w:rPr>
      </w:pPr>
    </w:p>
    <w:p>
      <w:pPr>
        <w:adjustRightInd w:val="0"/>
        <w:snapToGrid w:val="0"/>
        <w:spacing w:line="360" w:lineRule="auto"/>
        <w:ind w:firstLine="562" w:firstLineChars="200"/>
        <w:rPr>
          <w:rFonts w:ascii="宋体" w:hAnsi="宋体" w:eastAsia="黑体"/>
          <w:b/>
          <w:bCs/>
          <w:sz w:val="28"/>
        </w:rPr>
      </w:pPr>
      <w:r>
        <w:rPr>
          <w:rFonts w:hint="eastAsia" w:ascii="宋体" w:hAnsi="宋体" w:eastAsia="黑体"/>
          <w:b/>
          <w:bCs/>
          <w:sz w:val="28"/>
        </w:rPr>
        <w:t>二、任课教师教学过程中应注意的事项</w:t>
      </w:r>
    </w:p>
    <w:p>
      <w:pPr>
        <w:adjustRightInd w:val="0"/>
        <w:snapToGrid w:val="0"/>
        <w:spacing w:line="360" w:lineRule="auto"/>
        <w:ind w:firstLine="420" w:firstLineChars="200"/>
        <w:rPr>
          <w:szCs w:val="21"/>
        </w:rPr>
      </w:pPr>
      <w:r>
        <w:rPr>
          <w:rFonts w:hint="eastAsia"/>
          <w:szCs w:val="21"/>
        </w:rPr>
        <w:t>1、强调对学生认知能力及设计思维的培养</w:t>
      </w:r>
    </w:p>
    <w:p>
      <w:pPr>
        <w:adjustRightInd w:val="0"/>
        <w:snapToGrid w:val="0"/>
        <w:spacing w:line="360" w:lineRule="auto"/>
        <w:ind w:firstLine="420" w:firstLineChars="200"/>
        <w:rPr>
          <w:szCs w:val="21"/>
        </w:rPr>
      </w:pPr>
      <w:r>
        <w:rPr>
          <w:rFonts w:hint="eastAsia"/>
          <w:szCs w:val="21"/>
        </w:rPr>
        <w:t>2、注重项目调研与理论解剖的结合</w:t>
      </w:r>
    </w:p>
    <w:p>
      <w:pPr>
        <w:adjustRightInd w:val="0"/>
        <w:snapToGrid w:val="0"/>
        <w:spacing w:line="360" w:lineRule="auto"/>
        <w:ind w:firstLine="420" w:firstLineChars="200"/>
        <w:rPr>
          <w:szCs w:val="21"/>
        </w:rPr>
      </w:pPr>
      <w:r>
        <w:rPr>
          <w:rFonts w:hint="eastAsia"/>
          <w:szCs w:val="21"/>
        </w:rPr>
        <w:t>3、通过实地调研中的每个细节去引导学生，关注设计方法与过程研究</w:t>
      </w:r>
    </w:p>
    <w:p>
      <w:pPr>
        <w:adjustRightInd w:val="0"/>
        <w:snapToGrid w:val="0"/>
        <w:spacing w:line="360" w:lineRule="auto"/>
        <w:ind w:firstLine="420" w:firstLineChars="200"/>
        <w:rPr>
          <w:szCs w:val="21"/>
        </w:rPr>
      </w:pPr>
      <w:r>
        <w:rPr>
          <w:rFonts w:hint="eastAsia"/>
          <w:szCs w:val="21"/>
        </w:rPr>
        <w:t>4、强调学生的综合表达能力与案例解读能力</w:t>
      </w:r>
    </w:p>
    <w:p>
      <w:pPr>
        <w:adjustRightInd w:val="0"/>
        <w:snapToGrid w:val="0"/>
        <w:spacing w:line="360" w:lineRule="auto"/>
        <w:ind w:firstLine="420" w:firstLineChars="200"/>
        <w:rPr>
          <w:szCs w:val="21"/>
        </w:rPr>
      </w:pPr>
      <w:r>
        <w:rPr>
          <w:rFonts w:hint="eastAsia"/>
          <w:szCs w:val="21"/>
        </w:rPr>
        <w:t>5、以丰富的教学形式促进学生自主学习能力的提升</w:t>
      </w:r>
    </w:p>
    <w:p>
      <w:pPr>
        <w:adjustRightInd w:val="0"/>
        <w:snapToGrid w:val="0"/>
        <w:spacing w:line="360" w:lineRule="auto"/>
        <w:ind w:firstLine="420" w:firstLineChars="200"/>
        <w:rPr>
          <w:szCs w:val="21"/>
        </w:rPr>
      </w:pPr>
      <w:r>
        <w:rPr>
          <w:rFonts w:hint="eastAsia"/>
          <w:szCs w:val="21"/>
        </w:rPr>
        <w:t>6、充分利用多媒体技术及网络教学资源</w:t>
      </w:r>
    </w:p>
    <w:p>
      <w:pPr>
        <w:adjustRightInd w:val="0"/>
        <w:snapToGrid w:val="0"/>
        <w:spacing w:line="360" w:lineRule="auto"/>
        <w:ind w:firstLine="1405" w:firstLineChars="500"/>
        <w:rPr>
          <w:rFonts w:ascii="宋体" w:hAnsi="宋体" w:eastAsia="黑体"/>
          <w:b/>
          <w:bCs/>
          <w:sz w:val="28"/>
        </w:rPr>
      </w:pPr>
    </w:p>
    <w:p>
      <w:pPr>
        <w:adjustRightInd w:val="0"/>
        <w:snapToGrid w:val="0"/>
        <w:spacing w:line="360" w:lineRule="auto"/>
        <w:ind w:firstLine="562" w:firstLineChars="200"/>
        <w:rPr>
          <w:rFonts w:ascii="黑体" w:hAnsi="宋体" w:eastAsia="黑体"/>
          <w:b/>
          <w:bCs/>
          <w:sz w:val="28"/>
        </w:rPr>
      </w:pPr>
      <w:r>
        <w:rPr>
          <w:rFonts w:hint="eastAsia" w:ascii="宋体" w:hAnsi="宋体" w:eastAsia="黑体"/>
          <w:b/>
          <w:bCs/>
          <w:sz w:val="28"/>
        </w:rPr>
        <w:t>三、学时要求与分配</w:t>
      </w:r>
      <w:r>
        <w:rPr>
          <w:rFonts w:hint="eastAsia" w:ascii="黑体" w:hAnsi="宋体" w:eastAsia="黑体"/>
          <w:b/>
          <w:bCs/>
          <w:sz w:val="28"/>
        </w:rPr>
        <w:t>：</w:t>
      </w:r>
    </w:p>
    <w:p>
      <w:pPr>
        <w:adjustRightInd w:val="0"/>
        <w:snapToGrid w:val="0"/>
        <w:spacing w:line="360" w:lineRule="auto"/>
        <w:ind w:left="483" w:leftChars="230"/>
        <w:rPr>
          <w:rFonts w:ascii="宋体" w:hAnsi="宋体" w:eastAsia="黑体"/>
          <w:sz w:val="24"/>
        </w:rPr>
      </w:pPr>
      <w:r>
        <w:rPr>
          <w:rFonts w:hint="eastAsia" w:ascii="黑体" w:hAnsi="宋体" w:eastAsia="黑体"/>
          <w:bCs/>
          <w:sz w:val="24"/>
        </w:rPr>
        <w:t>（一）</w:t>
      </w:r>
      <w:r>
        <w:rPr>
          <w:rFonts w:hint="eastAsia" w:ascii="宋体" w:hAnsi="宋体" w:eastAsia="黑体"/>
          <w:sz w:val="24"/>
        </w:rPr>
        <w:t>总学时要求</w:t>
      </w:r>
    </w:p>
    <w:p>
      <w:pPr>
        <w:adjustRightInd w:val="0"/>
        <w:snapToGrid w:val="0"/>
        <w:spacing w:line="360" w:lineRule="auto"/>
        <w:ind w:firstLine="1050" w:firstLineChars="500"/>
        <w:rPr>
          <w:rFonts w:ascii="宋体" w:hAnsi="宋体"/>
        </w:rPr>
      </w:pPr>
      <w:r>
        <w:rPr>
          <w:rFonts w:hint="eastAsia" w:ascii="宋体" w:hAnsi="宋体"/>
        </w:rPr>
        <w:t>本课程总学时计3</w:t>
      </w:r>
      <w:r>
        <w:rPr>
          <w:rFonts w:ascii="宋体" w:hAnsi="宋体"/>
        </w:rPr>
        <w:t>0</w:t>
      </w:r>
      <w:r>
        <w:rPr>
          <w:rFonts w:hint="eastAsia" w:ascii="宋体" w:hAnsi="宋体"/>
        </w:rPr>
        <w:t>学时。</w:t>
      </w:r>
    </w:p>
    <w:p>
      <w:pPr>
        <w:adjustRightInd w:val="0"/>
        <w:snapToGrid w:val="0"/>
        <w:spacing w:line="360" w:lineRule="auto"/>
        <w:ind w:left="482"/>
        <w:rPr>
          <w:rFonts w:ascii="宋体" w:hAnsi="宋体" w:eastAsia="黑体"/>
          <w:sz w:val="24"/>
        </w:rPr>
      </w:pPr>
      <w:r>
        <w:rPr>
          <w:rFonts w:hint="eastAsia" w:ascii="宋体" w:hAnsi="宋体" w:eastAsia="黑体"/>
          <w:sz w:val="24"/>
        </w:rPr>
        <w:t>（二）学时分配</w:t>
      </w:r>
    </w:p>
    <w:tbl>
      <w:tblPr>
        <w:tblStyle w:val="14"/>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20"/>
        <w:gridCol w:w="4500"/>
        <w:gridCol w:w="768"/>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828" w:type="dxa"/>
            <w:vAlign w:val="center"/>
          </w:tcPr>
          <w:p>
            <w:pPr>
              <w:jc w:val="center"/>
              <w:rPr>
                <w:b/>
              </w:rPr>
            </w:pPr>
            <w:r>
              <w:rPr>
                <w:rFonts w:hint="eastAsia"/>
                <w:b/>
              </w:rPr>
              <w:t>周别</w:t>
            </w:r>
          </w:p>
        </w:tc>
        <w:tc>
          <w:tcPr>
            <w:tcW w:w="720" w:type="dxa"/>
          </w:tcPr>
          <w:p>
            <w:pPr>
              <w:jc w:val="center"/>
              <w:rPr>
                <w:b/>
              </w:rPr>
            </w:pPr>
            <w:r>
              <w:rPr>
                <w:rFonts w:hint="eastAsia"/>
                <w:b/>
              </w:rPr>
              <w:t>授课次数</w:t>
            </w:r>
          </w:p>
        </w:tc>
        <w:tc>
          <w:tcPr>
            <w:tcW w:w="4500" w:type="dxa"/>
            <w:vAlign w:val="center"/>
          </w:tcPr>
          <w:p>
            <w:pPr>
              <w:ind w:firstLine="548"/>
              <w:jc w:val="center"/>
              <w:rPr>
                <w:b/>
              </w:rPr>
            </w:pPr>
            <w:r>
              <w:rPr>
                <w:rFonts w:hint="eastAsia"/>
                <w:b/>
              </w:rPr>
              <w:t xml:space="preserve">    授课章节与内容摘要</w:t>
            </w:r>
          </w:p>
        </w:tc>
        <w:tc>
          <w:tcPr>
            <w:tcW w:w="768" w:type="dxa"/>
          </w:tcPr>
          <w:p>
            <w:pPr>
              <w:jc w:val="center"/>
              <w:rPr>
                <w:b/>
              </w:rPr>
            </w:pPr>
            <w:r>
              <w:rPr>
                <w:rFonts w:hint="eastAsia"/>
                <w:b/>
              </w:rPr>
              <w:t>教学时数</w:t>
            </w:r>
          </w:p>
        </w:tc>
        <w:tc>
          <w:tcPr>
            <w:tcW w:w="1704" w:type="dxa"/>
          </w:tcPr>
          <w:p>
            <w:pPr>
              <w:rPr>
                <w:b/>
              </w:rPr>
            </w:pPr>
            <w:r>
              <w:rPr>
                <w:rFonts w:hint="eastAsia"/>
                <w:b/>
              </w:rPr>
              <w:t xml:space="preserve">    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3" w:hRule="atLeast"/>
        </w:trPr>
        <w:tc>
          <w:tcPr>
            <w:tcW w:w="828" w:type="dxa"/>
          </w:tcPr>
          <w:p>
            <w:pPr>
              <w:rPr>
                <w:szCs w:val="21"/>
              </w:rPr>
            </w:pPr>
            <w:r>
              <w:rPr>
                <w:rFonts w:hint="eastAsia"/>
                <w:szCs w:val="21"/>
              </w:rPr>
              <w:t>9</w:t>
            </w:r>
          </w:p>
        </w:tc>
        <w:tc>
          <w:tcPr>
            <w:tcW w:w="720" w:type="dxa"/>
          </w:tcPr>
          <w:p>
            <w:pPr>
              <w:rPr>
                <w:szCs w:val="21"/>
              </w:rPr>
            </w:pPr>
            <w:r>
              <w:rPr>
                <w:szCs w:val="21"/>
              </w:rPr>
              <w:t>1</w:t>
            </w:r>
          </w:p>
        </w:tc>
        <w:tc>
          <w:tcPr>
            <w:tcW w:w="4500" w:type="dxa"/>
            <w:vAlign w:val="center"/>
          </w:tcPr>
          <w:p>
            <w:pPr>
              <w:rPr>
                <w:rFonts w:ascii="宋体" w:hAnsi="宋体"/>
                <w:color w:val="000000"/>
                <w:szCs w:val="21"/>
              </w:rPr>
            </w:pPr>
            <w:r>
              <w:rPr>
                <w:rFonts w:hint="eastAsia" w:ascii="宋体" w:hAnsi="宋体"/>
                <w:color w:val="000000"/>
                <w:szCs w:val="21"/>
              </w:rPr>
              <w:t>一、南京板桥装饰城调研（一）</w:t>
            </w:r>
          </w:p>
          <w:p>
            <w:pPr>
              <w:rPr>
                <w:rFonts w:ascii="宋体" w:hAnsi="宋体"/>
                <w:color w:val="000000"/>
                <w:szCs w:val="21"/>
              </w:rPr>
            </w:pPr>
            <w:r>
              <w:rPr>
                <w:rFonts w:hint="eastAsia" w:ascii="宋体" w:hAnsi="宋体"/>
                <w:color w:val="000000"/>
                <w:szCs w:val="21"/>
              </w:rPr>
              <w:t>景观铺装材料</w:t>
            </w:r>
          </w:p>
          <w:p>
            <w:pPr>
              <w:rPr>
                <w:rFonts w:ascii="宋体" w:hAnsi="宋体"/>
                <w:color w:val="000000"/>
                <w:szCs w:val="21"/>
              </w:rPr>
            </w:pPr>
            <w:r>
              <w:rPr>
                <w:rFonts w:hint="eastAsia" w:ascii="宋体" w:hAnsi="宋体"/>
                <w:color w:val="000000"/>
                <w:szCs w:val="21"/>
              </w:rPr>
              <w:t>（石材、木材、钢材等）</w:t>
            </w:r>
          </w:p>
          <w:p>
            <w:pPr>
              <w:rPr>
                <w:rFonts w:ascii="宋体" w:hAnsi="宋体"/>
                <w:color w:val="000000"/>
                <w:szCs w:val="21"/>
              </w:rPr>
            </w:pPr>
            <w:r>
              <w:rPr>
                <w:rFonts w:hint="eastAsia" w:ascii="宋体" w:hAnsi="宋体"/>
                <w:color w:val="000000"/>
                <w:szCs w:val="21"/>
              </w:rPr>
              <w:t>景观水体构造材料</w:t>
            </w:r>
          </w:p>
          <w:p>
            <w:pPr>
              <w:rPr>
                <w:rFonts w:ascii="宋体" w:hAnsi="宋体"/>
                <w:color w:val="000000"/>
                <w:szCs w:val="21"/>
              </w:rPr>
            </w:pPr>
            <w:r>
              <w:rPr>
                <w:rFonts w:hint="eastAsia" w:ascii="宋体" w:hAnsi="宋体"/>
                <w:color w:val="000000"/>
                <w:szCs w:val="21"/>
              </w:rPr>
              <w:t>景观灯具</w:t>
            </w:r>
          </w:p>
        </w:tc>
        <w:tc>
          <w:tcPr>
            <w:tcW w:w="768" w:type="dxa"/>
          </w:tcPr>
          <w:p>
            <w:pPr>
              <w:rPr>
                <w:szCs w:val="21"/>
              </w:rPr>
            </w:pPr>
            <w:r>
              <w:rPr>
                <w:rFonts w:hint="eastAsia"/>
                <w:szCs w:val="21"/>
              </w:rPr>
              <w:t>4</w:t>
            </w:r>
          </w:p>
        </w:tc>
        <w:tc>
          <w:tcPr>
            <w:tcW w:w="1704" w:type="dxa"/>
            <w:vMerge w:val="restart"/>
          </w:tcPr>
          <w:p>
            <w:pPr>
              <w:rPr>
                <w:szCs w:val="21"/>
              </w:rPr>
            </w:pPr>
          </w:p>
          <w:p>
            <w:pPr>
              <w:rPr>
                <w:szCs w:val="21"/>
              </w:rPr>
            </w:pPr>
          </w:p>
          <w:p>
            <w:pPr>
              <w:rPr>
                <w:szCs w:val="21"/>
              </w:rPr>
            </w:pPr>
          </w:p>
          <w:p>
            <w:pPr>
              <w:rPr>
                <w:szCs w:val="21"/>
              </w:rPr>
            </w:pPr>
            <w:r>
              <w:rPr>
                <w:rFonts w:hint="eastAsia"/>
                <w:szCs w:val="21"/>
              </w:rPr>
              <w:t>校外调研</w:t>
            </w:r>
          </w:p>
          <w:p>
            <w:pPr>
              <w:rPr>
                <w:szCs w:val="21"/>
              </w:rPr>
            </w:pPr>
            <w:r>
              <w:rPr>
                <w:rFonts w:hint="eastAsia"/>
                <w:szCs w:val="21"/>
              </w:rPr>
              <w:t>（</w:t>
            </w:r>
            <w:r>
              <w:rPr>
                <w:rFonts w:hint="eastAsia" w:ascii="宋体" w:hAnsi="宋体"/>
                <w:color w:val="000000"/>
                <w:szCs w:val="21"/>
              </w:rPr>
              <w:t>南京板桥装饰城</w:t>
            </w: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828" w:type="dxa"/>
          </w:tcPr>
          <w:p>
            <w:pPr>
              <w:rPr>
                <w:szCs w:val="21"/>
              </w:rPr>
            </w:pPr>
            <w:r>
              <w:rPr>
                <w:rFonts w:hint="eastAsia"/>
                <w:szCs w:val="21"/>
              </w:rPr>
              <w:t>9</w:t>
            </w:r>
          </w:p>
        </w:tc>
        <w:tc>
          <w:tcPr>
            <w:tcW w:w="720" w:type="dxa"/>
          </w:tcPr>
          <w:p>
            <w:pPr>
              <w:rPr>
                <w:szCs w:val="21"/>
              </w:rPr>
            </w:pPr>
            <w:r>
              <w:rPr>
                <w:szCs w:val="21"/>
              </w:rPr>
              <w:t>1</w:t>
            </w:r>
          </w:p>
        </w:tc>
        <w:tc>
          <w:tcPr>
            <w:tcW w:w="4500" w:type="dxa"/>
            <w:vAlign w:val="center"/>
          </w:tcPr>
          <w:p>
            <w:pPr>
              <w:rPr>
                <w:rFonts w:ascii="宋体" w:hAnsi="宋体"/>
                <w:color w:val="000000"/>
                <w:szCs w:val="21"/>
              </w:rPr>
            </w:pPr>
            <w:r>
              <w:rPr>
                <w:rFonts w:hint="eastAsia" w:ascii="宋体" w:hAnsi="宋体"/>
                <w:color w:val="000000"/>
                <w:szCs w:val="21"/>
              </w:rPr>
              <w:t>一、南京板桥装饰城调研（一）</w:t>
            </w:r>
          </w:p>
          <w:p>
            <w:pPr>
              <w:rPr>
                <w:rFonts w:ascii="宋体" w:hAnsi="宋体"/>
                <w:color w:val="000000"/>
                <w:szCs w:val="21"/>
              </w:rPr>
            </w:pPr>
            <w:r>
              <w:rPr>
                <w:rFonts w:hint="eastAsia" w:ascii="宋体" w:hAnsi="宋体"/>
                <w:color w:val="000000"/>
                <w:szCs w:val="21"/>
              </w:rPr>
              <w:t>调研素材汇总、分析研究</w:t>
            </w:r>
          </w:p>
          <w:p>
            <w:pPr>
              <w:rPr>
                <w:rFonts w:ascii="宋体" w:hAnsi="宋体"/>
                <w:color w:val="000000"/>
                <w:szCs w:val="21"/>
              </w:rPr>
            </w:pPr>
            <w:r>
              <w:rPr>
                <w:rFonts w:hint="eastAsia" w:ascii="宋体" w:hAnsi="宋体"/>
                <w:color w:val="000000"/>
                <w:szCs w:val="21"/>
              </w:rPr>
              <w:t>总结与启示</w:t>
            </w:r>
          </w:p>
        </w:tc>
        <w:tc>
          <w:tcPr>
            <w:tcW w:w="768" w:type="dxa"/>
          </w:tcPr>
          <w:p>
            <w:pPr>
              <w:rPr>
                <w:szCs w:val="21"/>
              </w:rPr>
            </w:pPr>
            <w:r>
              <w:rPr>
                <w:rFonts w:hint="eastAsia"/>
                <w:szCs w:val="21"/>
              </w:rPr>
              <w:t>5</w:t>
            </w:r>
          </w:p>
        </w:tc>
        <w:tc>
          <w:tcPr>
            <w:tcW w:w="1704" w:type="dxa"/>
            <w:vMerge w:val="continue"/>
          </w:tcPr>
          <w:p>
            <w:pPr>
              <w:rPr>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6" w:hRule="atLeast"/>
        </w:trPr>
        <w:tc>
          <w:tcPr>
            <w:tcW w:w="828" w:type="dxa"/>
          </w:tcPr>
          <w:p>
            <w:pPr>
              <w:rPr>
                <w:szCs w:val="21"/>
              </w:rPr>
            </w:pPr>
            <w:r>
              <w:rPr>
                <w:rFonts w:hint="eastAsia"/>
                <w:szCs w:val="21"/>
              </w:rPr>
              <w:t>9</w:t>
            </w:r>
          </w:p>
        </w:tc>
        <w:tc>
          <w:tcPr>
            <w:tcW w:w="720" w:type="dxa"/>
          </w:tcPr>
          <w:p>
            <w:pPr>
              <w:rPr>
                <w:szCs w:val="21"/>
              </w:rPr>
            </w:pPr>
            <w:r>
              <w:rPr>
                <w:szCs w:val="21"/>
              </w:rPr>
              <w:t>1</w:t>
            </w:r>
          </w:p>
        </w:tc>
        <w:tc>
          <w:tcPr>
            <w:tcW w:w="4500" w:type="dxa"/>
            <w:vAlign w:val="center"/>
          </w:tcPr>
          <w:p>
            <w:pPr>
              <w:rPr>
                <w:rFonts w:ascii="宋体" w:hAnsi="宋体"/>
                <w:color w:val="000000"/>
                <w:szCs w:val="21"/>
              </w:rPr>
            </w:pPr>
            <w:r>
              <w:rPr>
                <w:rFonts w:hint="eastAsia" w:ascii="宋体" w:hAnsi="宋体"/>
                <w:color w:val="000000"/>
                <w:szCs w:val="21"/>
              </w:rPr>
              <w:t>一、南京板桥装饰城调研（一）</w:t>
            </w:r>
          </w:p>
          <w:p>
            <w:pPr>
              <w:rPr>
                <w:rFonts w:ascii="宋体" w:hAnsi="宋体"/>
                <w:color w:val="000000"/>
                <w:szCs w:val="21"/>
              </w:rPr>
            </w:pPr>
            <w:r>
              <w:rPr>
                <w:rFonts w:hint="eastAsia" w:ascii="宋体" w:hAnsi="宋体"/>
                <w:color w:val="000000"/>
                <w:szCs w:val="21"/>
              </w:rPr>
              <w:t>调研报告总结</w:t>
            </w:r>
          </w:p>
        </w:tc>
        <w:tc>
          <w:tcPr>
            <w:tcW w:w="768" w:type="dxa"/>
          </w:tcPr>
          <w:p>
            <w:pPr>
              <w:rPr>
                <w:szCs w:val="21"/>
              </w:rPr>
            </w:pPr>
            <w:r>
              <w:rPr>
                <w:rFonts w:hint="eastAsia"/>
                <w:szCs w:val="21"/>
              </w:rPr>
              <w:t>4</w:t>
            </w:r>
          </w:p>
        </w:tc>
        <w:tc>
          <w:tcPr>
            <w:tcW w:w="1704" w:type="dxa"/>
          </w:tcPr>
          <w:p>
            <w:pPr>
              <w:jc w:val="center"/>
              <w:rPr>
                <w:b/>
                <w:sz w:val="30"/>
                <w:szCs w:val="30"/>
              </w:rPr>
            </w:pPr>
            <w:r>
              <w:rPr>
                <w:rFonts w:hint="eastAsia" w:ascii="宋体" w:hAnsi="宋体"/>
                <w:color w:val="000000"/>
                <w:szCs w:val="21"/>
              </w:rPr>
              <w:t>阶段性调研报告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6" w:hRule="atLeast"/>
        </w:trPr>
        <w:tc>
          <w:tcPr>
            <w:tcW w:w="828" w:type="dxa"/>
          </w:tcPr>
          <w:p>
            <w:pPr>
              <w:rPr>
                <w:szCs w:val="21"/>
              </w:rPr>
            </w:pPr>
            <w:r>
              <w:rPr>
                <w:rFonts w:hint="eastAsia"/>
                <w:szCs w:val="21"/>
              </w:rPr>
              <w:t>9</w:t>
            </w:r>
          </w:p>
        </w:tc>
        <w:tc>
          <w:tcPr>
            <w:tcW w:w="720" w:type="dxa"/>
          </w:tcPr>
          <w:p>
            <w:pPr>
              <w:rPr>
                <w:szCs w:val="21"/>
              </w:rPr>
            </w:pPr>
            <w:r>
              <w:rPr>
                <w:szCs w:val="21"/>
              </w:rPr>
              <w:t>1</w:t>
            </w:r>
          </w:p>
        </w:tc>
        <w:tc>
          <w:tcPr>
            <w:tcW w:w="4500" w:type="dxa"/>
            <w:vAlign w:val="center"/>
          </w:tcPr>
          <w:p>
            <w:pPr>
              <w:rPr>
                <w:rFonts w:ascii="宋体" w:hAnsi="宋体"/>
                <w:color w:val="000000"/>
                <w:szCs w:val="21"/>
              </w:rPr>
            </w:pPr>
            <w:r>
              <w:rPr>
                <w:rFonts w:hint="eastAsia" w:ascii="宋体" w:hAnsi="宋体"/>
                <w:color w:val="000000"/>
                <w:szCs w:val="21"/>
              </w:rPr>
              <w:t>二、南京中山植物园调研（二）</w:t>
            </w:r>
          </w:p>
          <w:p>
            <w:pPr>
              <w:rPr>
                <w:rFonts w:ascii="宋体" w:hAnsi="宋体"/>
                <w:color w:val="000000"/>
                <w:szCs w:val="21"/>
              </w:rPr>
            </w:pPr>
            <w:r>
              <w:rPr>
                <w:rFonts w:hint="eastAsia" w:ascii="宋体" w:hAnsi="宋体"/>
                <w:color w:val="000000"/>
                <w:szCs w:val="21"/>
              </w:rPr>
              <w:t>1、景观植物种类</w:t>
            </w:r>
          </w:p>
          <w:p>
            <w:pPr>
              <w:rPr>
                <w:rFonts w:ascii="宋体" w:hAnsi="宋体"/>
                <w:color w:val="000000"/>
                <w:szCs w:val="21"/>
              </w:rPr>
            </w:pPr>
            <w:r>
              <w:rPr>
                <w:rFonts w:hint="eastAsia" w:ascii="宋体" w:hAnsi="宋体"/>
                <w:color w:val="000000"/>
                <w:szCs w:val="21"/>
              </w:rPr>
              <w:t>（乔木、灌木、草本等）</w:t>
            </w:r>
          </w:p>
          <w:p>
            <w:pPr>
              <w:rPr>
                <w:rFonts w:ascii="宋体" w:hAnsi="宋体"/>
                <w:color w:val="000000"/>
                <w:szCs w:val="21"/>
              </w:rPr>
            </w:pPr>
            <w:r>
              <w:rPr>
                <w:rFonts w:hint="eastAsia" w:ascii="宋体" w:hAnsi="宋体"/>
                <w:color w:val="000000"/>
                <w:szCs w:val="21"/>
              </w:rPr>
              <w:t>2、景观植物配置方式</w:t>
            </w:r>
          </w:p>
        </w:tc>
        <w:tc>
          <w:tcPr>
            <w:tcW w:w="768" w:type="dxa"/>
          </w:tcPr>
          <w:p>
            <w:pPr>
              <w:rPr>
                <w:szCs w:val="21"/>
              </w:rPr>
            </w:pPr>
            <w:r>
              <w:rPr>
                <w:rFonts w:hint="eastAsia"/>
                <w:szCs w:val="21"/>
              </w:rPr>
              <w:t>5</w:t>
            </w:r>
          </w:p>
        </w:tc>
        <w:tc>
          <w:tcPr>
            <w:tcW w:w="1704" w:type="dxa"/>
            <w:vMerge w:val="restart"/>
          </w:tcPr>
          <w:p>
            <w:pPr>
              <w:rPr>
                <w:szCs w:val="21"/>
              </w:rPr>
            </w:pPr>
          </w:p>
          <w:p>
            <w:pPr>
              <w:rPr>
                <w:szCs w:val="21"/>
              </w:rPr>
            </w:pPr>
          </w:p>
          <w:p>
            <w:pPr>
              <w:rPr>
                <w:szCs w:val="21"/>
              </w:rPr>
            </w:pPr>
            <w:r>
              <w:rPr>
                <w:rFonts w:hint="eastAsia"/>
                <w:szCs w:val="21"/>
              </w:rPr>
              <w:t>校外调研</w:t>
            </w:r>
          </w:p>
          <w:p>
            <w:pPr>
              <w:rPr>
                <w:b/>
                <w:sz w:val="30"/>
                <w:szCs w:val="30"/>
              </w:rPr>
            </w:pPr>
            <w:r>
              <w:rPr>
                <w:rFonts w:hint="eastAsia"/>
                <w:szCs w:val="21"/>
              </w:rPr>
              <w:t>（</w:t>
            </w:r>
            <w:r>
              <w:rPr>
                <w:rFonts w:hint="eastAsia" w:ascii="宋体" w:hAnsi="宋体"/>
                <w:color w:val="000000"/>
                <w:szCs w:val="21"/>
              </w:rPr>
              <w:t>南京总统府</w:t>
            </w: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828" w:type="dxa"/>
          </w:tcPr>
          <w:p>
            <w:pPr>
              <w:rPr>
                <w:szCs w:val="21"/>
              </w:rPr>
            </w:pPr>
            <w:r>
              <w:rPr>
                <w:rFonts w:hint="eastAsia"/>
                <w:szCs w:val="21"/>
              </w:rPr>
              <w:t>9</w:t>
            </w:r>
          </w:p>
        </w:tc>
        <w:tc>
          <w:tcPr>
            <w:tcW w:w="720" w:type="dxa"/>
          </w:tcPr>
          <w:p>
            <w:pPr>
              <w:rPr>
                <w:szCs w:val="21"/>
              </w:rPr>
            </w:pPr>
            <w:r>
              <w:rPr>
                <w:szCs w:val="21"/>
              </w:rPr>
              <w:t>1</w:t>
            </w:r>
          </w:p>
        </w:tc>
        <w:tc>
          <w:tcPr>
            <w:tcW w:w="4500" w:type="dxa"/>
            <w:vAlign w:val="center"/>
          </w:tcPr>
          <w:p>
            <w:pPr>
              <w:rPr>
                <w:rFonts w:ascii="宋体" w:hAnsi="宋体"/>
                <w:color w:val="000000"/>
                <w:szCs w:val="21"/>
              </w:rPr>
            </w:pPr>
            <w:r>
              <w:rPr>
                <w:rFonts w:hint="eastAsia" w:ascii="宋体" w:hAnsi="宋体"/>
                <w:color w:val="000000"/>
                <w:szCs w:val="21"/>
              </w:rPr>
              <w:t>二、南京中山植物园调研（二）</w:t>
            </w:r>
          </w:p>
          <w:p>
            <w:pPr>
              <w:rPr>
                <w:rFonts w:ascii="宋体" w:hAnsi="宋体"/>
                <w:color w:val="000000"/>
                <w:szCs w:val="21"/>
              </w:rPr>
            </w:pPr>
            <w:r>
              <w:rPr>
                <w:rFonts w:hint="eastAsia" w:ascii="宋体" w:hAnsi="宋体"/>
                <w:color w:val="000000"/>
                <w:szCs w:val="21"/>
              </w:rPr>
              <w:t>调研素材汇总、分析研究</w:t>
            </w:r>
          </w:p>
          <w:p>
            <w:pPr>
              <w:rPr>
                <w:rFonts w:ascii="宋体" w:hAnsi="宋体"/>
                <w:color w:val="000000"/>
                <w:szCs w:val="21"/>
              </w:rPr>
            </w:pPr>
            <w:r>
              <w:rPr>
                <w:rFonts w:hint="eastAsia" w:ascii="宋体" w:hAnsi="宋体"/>
                <w:color w:val="000000"/>
                <w:szCs w:val="21"/>
              </w:rPr>
              <w:t>总结与启示</w:t>
            </w:r>
          </w:p>
        </w:tc>
        <w:tc>
          <w:tcPr>
            <w:tcW w:w="768" w:type="dxa"/>
          </w:tcPr>
          <w:p>
            <w:pPr>
              <w:rPr>
                <w:szCs w:val="21"/>
              </w:rPr>
            </w:pPr>
            <w:r>
              <w:rPr>
                <w:rFonts w:hint="eastAsia"/>
                <w:szCs w:val="21"/>
              </w:rPr>
              <w:t>4</w:t>
            </w:r>
          </w:p>
        </w:tc>
        <w:tc>
          <w:tcPr>
            <w:tcW w:w="1704" w:type="dxa"/>
            <w:vMerge w:val="continue"/>
          </w:tcPr>
          <w:p>
            <w:pPr>
              <w:jc w:val="center"/>
              <w:rPr>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828" w:type="dxa"/>
          </w:tcPr>
          <w:p>
            <w:pPr>
              <w:rPr>
                <w:szCs w:val="21"/>
              </w:rPr>
            </w:pPr>
            <w:r>
              <w:rPr>
                <w:rFonts w:hint="eastAsia"/>
                <w:szCs w:val="21"/>
              </w:rPr>
              <w:t>9</w:t>
            </w:r>
          </w:p>
        </w:tc>
        <w:tc>
          <w:tcPr>
            <w:tcW w:w="720" w:type="dxa"/>
          </w:tcPr>
          <w:p>
            <w:pPr>
              <w:rPr>
                <w:szCs w:val="21"/>
              </w:rPr>
            </w:pPr>
            <w:r>
              <w:rPr>
                <w:szCs w:val="21"/>
              </w:rPr>
              <w:t>1</w:t>
            </w:r>
          </w:p>
        </w:tc>
        <w:tc>
          <w:tcPr>
            <w:tcW w:w="4500" w:type="dxa"/>
            <w:vAlign w:val="center"/>
          </w:tcPr>
          <w:p>
            <w:pPr>
              <w:rPr>
                <w:rFonts w:ascii="宋体" w:hAnsi="宋体"/>
                <w:color w:val="000000"/>
                <w:szCs w:val="21"/>
              </w:rPr>
            </w:pPr>
            <w:r>
              <w:rPr>
                <w:rFonts w:hint="eastAsia" w:ascii="宋体" w:hAnsi="宋体"/>
                <w:color w:val="000000"/>
                <w:szCs w:val="21"/>
              </w:rPr>
              <w:t>二、南京中山植物园调研（二）</w:t>
            </w:r>
          </w:p>
          <w:p>
            <w:pPr>
              <w:rPr>
                <w:rFonts w:ascii="宋体" w:hAnsi="宋体"/>
                <w:color w:val="000000"/>
                <w:szCs w:val="21"/>
              </w:rPr>
            </w:pPr>
            <w:r>
              <w:rPr>
                <w:rFonts w:hint="eastAsia" w:ascii="宋体" w:hAnsi="宋体"/>
                <w:color w:val="000000"/>
                <w:szCs w:val="21"/>
              </w:rPr>
              <w:t>调研报告总结</w:t>
            </w:r>
          </w:p>
        </w:tc>
        <w:tc>
          <w:tcPr>
            <w:tcW w:w="768" w:type="dxa"/>
          </w:tcPr>
          <w:p>
            <w:pPr>
              <w:rPr>
                <w:szCs w:val="21"/>
              </w:rPr>
            </w:pPr>
            <w:r>
              <w:rPr>
                <w:rFonts w:hint="eastAsia"/>
                <w:szCs w:val="21"/>
              </w:rPr>
              <w:t>8</w:t>
            </w:r>
          </w:p>
        </w:tc>
        <w:tc>
          <w:tcPr>
            <w:tcW w:w="1704" w:type="dxa"/>
          </w:tcPr>
          <w:p>
            <w:pPr>
              <w:rPr>
                <w:b/>
                <w:sz w:val="30"/>
                <w:szCs w:val="30"/>
              </w:rPr>
            </w:pPr>
            <w:r>
              <w:rPr>
                <w:rFonts w:hint="eastAsia" w:ascii="宋体" w:hAnsi="宋体"/>
                <w:color w:val="000000"/>
                <w:szCs w:val="21"/>
              </w:rPr>
              <w:t>阶段性调研报告总结性调研报告</w:t>
            </w:r>
          </w:p>
        </w:tc>
      </w:tr>
    </w:tbl>
    <w:p>
      <w:pPr>
        <w:adjustRightInd w:val="0"/>
        <w:snapToGrid w:val="0"/>
        <w:spacing w:line="360" w:lineRule="auto"/>
        <w:rPr>
          <w:rFonts w:ascii="黑体" w:hAnsi="宋体" w:eastAsia="黑体"/>
          <w:b/>
        </w:rPr>
      </w:pPr>
    </w:p>
    <w:p>
      <w:pPr>
        <w:adjustRightInd w:val="0"/>
        <w:snapToGrid w:val="0"/>
        <w:spacing w:line="360" w:lineRule="auto"/>
        <w:ind w:firstLine="275" w:firstLineChars="98"/>
        <w:rPr>
          <w:rFonts w:eastAsia="黑体"/>
          <w:b/>
          <w:bCs/>
          <w:sz w:val="28"/>
        </w:rPr>
      </w:pPr>
      <w:r>
        <w:rPr>
          <w:rFonts w:hint="eastAsia" w:ascii="宋体" w:hAnsi="宋体" w:eastAsia="黑体"/>
          <w:b/>
          <w:bCs/>
          <w:sz w:val="28"/>
        </w:rPr>
        <w:t>四、</w:t>
      </w:r>
      <w:r>
        <w:rPr>
          <w:rFonts w:hint="eastAsia" w:eastAsia="黑体"/>
          <w:b/>
          <w:bCs/>
          <w:sz w:val="28"/>
        </w:rPr>
        <w:t>实践教学内容与要求</w:t>
      </w:r>
    </w:p>
    <w:p>
      <w:pPr>
        <w:ind w:firstLine="420" w:firstLineChars="200"/>
        <w:jc w:val="left"/>
      </w:pPr>
      <w:r>
        <w:rPr>
          <w:rFonts w:hint="eastAsia"/>
        </w:rPr>
        <w:t>本课程在教学中采用了案例式、情境式等方法引导学生主动进入设计状态，激励学生不断要求进步，并且让学生组成设计团队进行练习，使资源优化整合并增强学生的团队合作意识。</w:t>
      </w:r>
    </w:p>
    <w:p>
      <w:pPr>
        <w:pStyle w:val="22"/>
        <w:numPr>
          <w:ilvl w:val="0"/>
          <w:numId w:val="2"/>
        </w:numPr>
        <w:ind w:firstLineChars="0"/>
        <w:jc w:val="left"/>
      </w:pPr>
      <w:r>
        <w:rPr>
          <w:rFonts w:hint="eastAsia"/>
        </w:rPr>
        <w:t>前往南京本地较为领先的景观设计地点进行实地调研，帮助学生了解市场应用。</w:t>
      </w:r>
    </w:p>
    <w:p>
      <w:pPr>
        <w:pStyle w:val="22"/>
        <w:numPr>
          <w:ilvl w:val="0"/>
          <w:numId w:val="2"/>
        </w:numPr>
        <w:ind w:firstLineChars="0"/>
        <w:jc w:val="left"/>
      </w:pPr>
      <w:r>
        <w:rPr>
          <w:rFonts w:hint="eastAsia"/>
        </w:rPr>
        <w:t>借助校企合作工作室平台，帮助学生了解市场需求；</w:t>
      </w:r>
    </w:p>
    <w:p>
      <w:pPr>
        <w:ind w:firstLine="420" w:firstLineChars="200"/>
        <w:jc w:val="left"/>
      </w:pPr>
      <w:r>
        <w:rPr>
          <w:rFonts w:hint="eastAsia"/>
        </w:rPr>
        <w:t>2、进一步加强学生对资料、案例收集整理并分析中外优秀设计案例，丰富学生的专业信息；</w:t>
      </w:r>
    </w:p>
    <w:p>
      <w:pPr>
        <w:ind w:firstLine="420" w:firstLineChars="200"/>
        <w:jc w:val="left"/>
      </w:pPr>
      <w:r>
        <w:rPr>
          <w:rFonts w:hint="eastAsia"/>
        </w:rPr>
        <w:t>3、仍需注重培养学生的多元化思维和表现能力；</w:t>
      </w:r>
    </w:p>
    <w:p>
      <w:pPr>
        <w:ind w:firstLine="420" w:firstLineChars="200"/>
        <w:jc w:val="left"/>
      </w:pPr>
      <w:r>
        <w:rPr>
          <w:rFonts w:hint="eastAsia"/>
        </w:rPr>
        <w:t>4、进一步调整扩充资源，利用教学云平台，丰富教学手段，培养学生的自主学习能力。</w:t>
      </w:r>
    </w:p>
    <w:p>
      <w:pPr>
        <w:ind w:firstLine="420" w:firstLineChars="200"/>
        <w:jc w:val="left"/>
      </w:pPr>
    </w:p>
    <w:p>
      <w:pPr>
        <w:numPr>
          <w:ilvl w:val="0"/>
          <w:numId w:val="3"/>
        </w:numPr>
        <w:adjustRightInd w:val="0"/>
        <w:snapToGrid w:val="0"/>
        <w:spacing w:line="360" w:lineRule="auto"/>
        <w:ind w:firstLine="562" w:firstLineChars="200"/>
        <w:rPr>
          <w:rFonts w:ascii="宋体" w:hAnsi="宋体" w:eastAsia="黑体"/>
          <w:b/>
          <w:bCs/>
          <w:sz w:val="28"/>
        </w:rPr>
      </w:pPr>
      <w:r>
        <w:rPr>
          <w:rFonts w:hint="eastAsia" w:ascii="宋体" w:hAnsi="宋体" w:eastAsia="黑体"/>
          <w:b/>
          <w:bCs/>
          <w:sz w:val="28"/>
        </w:rPr>
        <w:t>教学</w:t>
      </w:r>
      <w:r>
        <w:rPr>
          <w:rFonts w:ascii="宋体" w:hAnsi="宋体" w:eastAsia="黑体"/>
          <w:b/>
          <w:bCs/>
          <w:sz w:val="28"/>
        </w:rPr>
        <w:t>参考</w:t>
      </w:r>
      <w:r>
        <w:rPr>
          <w:rFonts w:hint="eastAsia" w:ascii="宋体" w:hAnsi="宋体" w:eastAsia="黑体"/>
          <w:b/>
          <w:bCs/>
          <w:sz w:val="28"/>
        </w:rPr>
        <w:t>资料</w:t>
      </w:r>
    </w:p>
    <w:p>
      <w:pPr>
        <w:pStyle w:val="2"/>
        <w:shd w:val="clear" w:color="auto" w:fill="FFFFFF"/>
        <w:spacing w:before="0" w:after="0" w:line="360" w:lineRule="atLeast"/>
        <w:rPr>
          <w:b w:val="0"/>
          <w:bCs w:val="0"/>
          <w:kern w:val="2"/>
          <w:sz w:val="21"/>
          <w:szCs w:val="21"/>
        </w:rPr>
      </w:pPr>
      <w:r>
        <w:rPr>
          <w:rFonts w:hint="eastAsia"/>
          <w:b w:val="0"/>
          <w:bCs w:val="0"/>
          <w:kern w:val="2"/>
          <w:sz w:val="21"/>
          <w:szCs w:val="21"/>
        </w:rPr>
        <w:t>1、《</w:t>
      </w:r>
      <w:r>
        <w:rPr>
          <w:b w:val="0"/>
          <w:bCs w:val="0"/>
          <w:kern w:val="2"/>
          <w:sz w:val="21"/>
          <w:szCs w:val="21"/>
        </w:rPr>
        <w:t>园林硬质景观工程设计(含图册CD)</w:t>
      </w:r>
      <w:r>
        <w:rPr>
          <w:rFonts w:hint="eastAsia"/>
          <w:b w:val="0"/>
          <w:bCs w:val="0"/>
          <w:kern w:val="2"/>
          <w:sz w:val="21"/>
          <w:szCs w:val="21"/>
        </w:rPr>
        <w:t xml:space="preserve"> 》</w:t>
      </w:r>
      <w:r>
        <w:rPr>
          <w:b w:val="0"/>
          <w:bCs w:val="0"/>
          <w:kern w:val="2"/>
          <w:sz w:val="21"/>
          <w:szCs w:val="21"/>
        </w:rPr>
        <w:t> 作者:</w:t>
      </w:r>
      <w:r>
        <w:fldChar w:fldCharType="begin"/>
      </w:r>
      <w:r>
        <w:instrText xml:space="preserve"> HYPERLINK "http://search.dangdang.com/?key2=%D2%D7%BE%FC&amp;medium=01&amp;category_path=01.00.00.00.00.00" \t "_blank" </w:instrText>
      </w:r>
      <w:r>
        <w:fldChar w:fldCharType="separate"/>
      </w:r>
      <w:r>
        <w:rPr>
          <w:b w:val="0"/>
          <w:bCs w:val="0"/>
          <w:kern w:val="2"/>
          <w:sz w:val="21"/>
          <w:szCs w:val="21"/>
        </w:rPr>
        <w:t>易军</w:t>
      </w:r>
      <w:r>
        <w:rPr>
          <w:b w:val="0"/>
          <w:bCs w:val="0"/>
          <w:kern w:val="2"/>
          <w:sz w:val="21"/>
          <w:szCs w:val="21"/>
        </w:rPr>
        <w:fldChar w:fldCharType="end"/>
      </w:r>
      <w:r>
        <w:rPr>
          <w:b w:val="0"/>
          <w:bCs w:val="0"/>
          <w:kern w:val="2"/>
          <w:sz w:val="21"/>
          <w:szCs w:val="21"/>
        </w:rPr>
        <w:t>　等编著出版社:</w:t>
      </w:r>
      <w:r>
        <w:fldChar w:fldCharType="begin"/>
      </w:r>
      <w:r>
        <w:instrText xml:space="preserve"> HYPERLINK "http://search.dangdang.com/?key3=%BF%C6%D1%A7%B3%F6%B0%E6%C9%E7&amp;medium=01&amp;category_path=01.00.00.00.00.00" \t "_blank" </w:instrText>
      </w:r>
      <w:r>
        <w:fldChar w:fldCharType="separate"/>
      </w:r>
      <w:r>
        <w:rPr>
          <w:b w:val="0"/>
          <w:bCs w:val="0"/>
          <w:kern w:val="2"/>
          <w:sz w:val="21"/>
          <w:szCs w:val="21"/>
        </w:rPr>
        <w:t>科学出版社</w:t>
      </w:r>
      <w:r>
        <w:rPr>
          <w:b w:val="0"/>
          <w:bCs w:val="0"/>
          <w:kern w:val="2"/>
          <w:sz w:val="21"/>
          <w:szCs w:val="21"/>
        </w:rPr>
        <w:fldChar w:fldCharType="end"/>
      </w:r>
    </w:p>
    <w:p>
      <w:pPr>
        <w:pStyle w:val="2"/>
        <w:shd w:val="clear" w:color="auto" w:fill="FFFFFF"/>
        <w:spacing w:before="0" w:after="0" w:line="360" w:lineRule="atLeast"/>
        <w:rPr>
          <w:b w:val="0"/>
          <w:bCs w:val="0"/>
          <w:kern w:val="2"/>
          <w:sz w:val="21"/>
          <w:szCs w:val="21"/>
        </w:rPr>
      </w:pPr>
      <w:r>
        <w:rPr>
          <w:rFonts w:hint="eastAsia"/>
          <w:b w:val="0"/>
          <w:bCs w:val="0"/>
          <w:kern w:val="2"/>
          <w:sz w:val="21"/>
          <w:szCs w:val="21"/>
        </w:rPr>
        <w:t>2、《</w:t>
      </w:r>
      <w:r>
        <w:rPr>
          <w:b w:val="0"/>
          <w:bCs w:val="0"/>
          <w:kern w:val="2"/>
          <w:sz w:val="21"/>
          <w:szCs w:val="21"/>
        </w:rPr>
        <w:t>园林景观工程设计与实训</w:t>
      </w:r>
      <w:r>
        <w:rPr>
          <w:rFonts w:hint="eastAsia"/>
          <w:b w:val="0"/>
          <w:bCs w:val="0"/>
          <w:kern w:val="2"/>
          <w:sz w:val="21"/>
          <w:szCs w:val="21"/>
        </w:rPr>
        <w:t>》</w:t>
      </w:r>
      <w:r>
        <w:rPr>
          <w:b w:val="0"/>
          <w:bCs w:val="0"/>
          <w:kern w:val="2"/>
          <w:sz w:val="21"/>
          <w:szCs w:val="21"/>
        </w:rPr>
        <w:t>作者:</w:t>
      </w:r>
      <w:r>
        <w:fldChar w:fldCharType="begin"/>
      </w:r>
      <w:r>
        <w:instrText xml:space="preserve"> HYPERLINK "http://search.dangdang.com/?key2=%CB%CE%C5%E0%BE%EA&amp;medium=01&amp;category_path=01.00.00.00.00.00" \t "_blank" </w:instrText>
      </w:r>
      <w:r>
        <w:fldChar w:fldCharType="separate"/>
      </w:r>
      <w:r>
        <w:rPr>
          <w:b w:val="0"/>
          <w:bCs w:val="0"/>
          <w:kern w:val="2"/>
          <w:sz w:val="21"/>
          <w:szCs w:val="21"/>
        </w:rPr>
        <w:t>宋培娟</w:t>
      </w:r>
      <w:r>
        <w:rPr>
          <w:b w:val="0"/>
          <w:bCs w:val="0"/>
          <w:kern w:val="2"/>
          <w:sz w:val="21"/>
          <w:szCs w:val="21"/>
        </w:rPr>
        <w:fldChar w:fldCharType="end"/>
      </w:r>
      <w:r>
        <w:rPr>
          <w:b w:val="0"/>
          <w:bCs w:val="0"/>
          <w:kern w:val="2"/>
          <w:sz w:val="21"/>
          <w:szCs w:val="21"/>
        </w:rPr>
        <w:t>　主编出版社:</w:t>
      </w:r>
      <w:r>
        <w:fldChar w:fldCharType="begin"/>
      </w:r>
      <w:r>
        <w:instrText xml:space="preserve"> HYPERLINK "http://search.dangdang.com/?key3=%B1%B1%BE%A9%B4%F3%D1%A7%B3%F6%B0%E6%C9%E7&amp;medium=01&amp;category_path=01.00.00.00.00.00" \t "_blank" </w:instrText>
      </w:r>
      <w:r>
        <w:fldChar w:fldCharType="separate"/>
      </w:r>
      <w:r>
        <w:rPr>
          <w:b w:val="0"/>
          <w:bCs w:val="0"/>
          <w:kern w:val="2"/>
          <w:sz w:val="21"/>
          <w:szCs w:val="21"/>
        </w:rPr>
        <w:t>北京大学出版社</w:t>
      </w:r>
      <w:r>
        <w:rPr>
          <w:b w:val="0"/>
          <w:bCs w:val="0"/>
          <w:kern w:val="2"/>
          <w:sz w:val="21"/>
          <w:szCs w:val="21"/>
        </w:rPr>
        <w:fldChar w:fldCharType="end"/>
      </w:r>
    </w:p>
    <w:p>
      <w:pPr>
        <w:pStyle w:val="2"/>
        <w:shd w:val="clear" w:color="auto" w:fill="FFFFFF"/>
        <w:spacing w:before="0" w:after="0" w:line="360" w:lineRule="atLeast"/>
        <w:rPr>
          <w:b w:val="0"/>
          <w:bCs w:val="0"/>
          <w:kern w:val="2"/>
          <w:sz w:val="21"/>
          <w:szCs w:val="21"/>
        </w:rPr>
      </w:pPr>
      <w:r>
        <w:rPr>
          <w:rFonts w:hint="eastAsia"/>
          <w:b w:val="0"/>
          <w:bCs w:val="0"/>
          <w:kern w:val="2"/>
          <w:sz w:val="21"/>
          <w:szCs w:val="21"/>
        </w:rPr>
        <w:t>3、《</w:t>
      </w:r>
      <w:r>
        <w:rPr>
          <w:b w:val="0"/>
          <w:bCs w:val="0"/>
          <w:kern w:val="2"/>
          <w:sz w:val="21"/>
          <w:szCs w:val="21"/>
        </w:rPr>
        <w:t> 园林景观材料</w:t>
      </w:r>
      <w:r>
        <w:rPr>
          <w:rFonts w:hint="eastAsia"/>
          <w:b w:val="0"/>
          <w:bCs w:val="0"/>
          <w:kern w:val="2"/>
          <w:sz w:val="21"/>
          <w:szCs w:val="21"/>
        </w:rPr>
        <w:t>》</w:t>
      </w:r>
      <w:r>
        <w:rPr>
          <w:b w:val="0"/>
          <w:bCs w:val="0"/>
          <w:kern w:val="2"/>
          <w:sz w:val="21"/>
          <w:szCs w:val="21"/>
        </w:rPr>
        <w:t>作者:</w:t>
      </w:r>
      <w:r>
        <w:fldChar w:fldCharType="begin"/>
      </w:r>
      <w:r>
        <w:instrText xml:space="preserve"> HYPERLINK "http://search.dangdang.com/?key2=%B6%AD%C0%F2%C0%F2&amp;medium=01&amp;category_path=01.00.00.00.00.00" \t "_blank" </w:instrText>
      </w:r>
      <w:r>
        <w:fldChar w:fldCharType="separate"/>
      </w:r>
      <w:r>
        <w:rPr>
          <w:b w:val="0"/>
          <w:bCs w:val="0"/>
          <w:kern w:val="2"/>
          <w:sz w:val="21"/>
          <w:szCs w:val="21"/>
        </w:rPr>
        <w:t>董莉莉</w:t>
      </w:r>
      <w:r>
        <w:rPr>
          <w:b w:val="0"/>
          <w:bCs w:val="0"/>
          <w:kern w:val="2"/>
          <w:sz w:val="21"/>
          <w:szCs w:val="21"/>
        </w:rPr>
        <w:fldChar w:fldCharType="end"/>
      </w:r>
      <w:r>
        <w:rPr>
          <w:b w:val="0"/>
          <w:bCs w:val="0"/>
          <w:kern w:val="2"/>
          <w:sz w:val="21"/>
          <w:szCs w:val="21"/>
        </w:rPr>
        <w:t>　著出版社:</w:t>
      </w:r>
      <w:r>
        <w:fldChar w:fldCharType="begin"/>
      </w:r>
      <w:r>
        <w:instrText xml:space="preserve"> HYPERLINK "http://search.dangdang.com/?key3=%D6%D8%C7%EC%B4%F3%D1%A7%B3%F6%B0%E6%C9%E7&amp;medium=01&amp;category_path=01.00.00.00.00.00" \t "_blank" </w:instrText>
      </w:r>
      <w:r>
        <w:fldChar w:fldCharType="separate"/>
      </w:r>
      <w:r>
        <w:rPr>
          <w:b w:val="0"/>
          <w:bCs w:val="0"/>
          <w:kern w:val="2"/>
          <w:sz w:val="21"/>
          <w:szCs w:val="21"/>
        </w:rPr>
        <w:t>重庆大学出版社</w:t>
      </w:r>
      <w:r>
        <w:rPr>
          <w:b w:val="0"/>
          <w:bCs w:val="0"/>
          <w:kern w:val="2"/>
          <w:sz w:val="21"/>
          <w:szCs w:val="21"/>
        </w:rPr>
        <w:fldChar w:fldCharType="end"/>
      </w:r>
      <w:r>
        <w:rPr>
          <w:b w:val="0"/>
          <w:bCs w:val="0"/>
          <w:kern w:val="2"/>
          <w:sz w:val="21"/>
          <w:szCs w:val="21"/>
        </w:rPr>
        <w:t>出版时间:2016年07月 </w:t>
      </w:r>
    </w:p>
    <w:p>
      <w:pPr>
        <w:pStyle w:val="2"/>
        <w:shd w:val="clear" w:color="auto" w:fill="FFFFFF"/>
        <w:spacing w:before="0" w:after="0" w:line="360" w:lineRule="atLeast"/>
        <w:rPr>
          <w:b w:val="0"/>
          <w:bCs w:val="0"/>
          <w:kern w:val="2"/>
          <w:sz w:val="21"/>
          <w:szCs w:val="21"/>
        </w:rPr>
      </w:pPr>
      <w:r>
        <w:rPr>
          <w:rFonts w:hint="eastAsia"/>
          <w:b w:val="0"/>
          <w:bCs w:val="0"/>
          <w:kern w:val="2"/>
          <w:sz w:val="21"/>
          <w:szCs w:val="21"/>
        </w:rPr>
        <w:t>4.</w:t>
      </w:r>
      <w:r>
        <w:rPr>
          <w:b w:val="0"/>
          <w:bCs w:val="0"/>
          <w:kern w:val="2"/>
          <w:sz w:val="21"/>
          <w:szCs w:val="21"/>
        </w:rPr>
        <w:t xml:space="preserve"> </w:t>
      </w:r>
      <w:r>
        <w:rPr>
          <w:rFonts w:hint="eastAsia"/>
          <w:b w:val="0"/>
          <w:bCs w:val="0"/>
          <w:kern w:val="2"/>
          <w:sz w:val="21"/>
          <w:szCs w:val="21"/>
        </w:rPr>
        <w:t>《</w:t>
      </w:r>
      <w:r>
        <w:rPr>
          <w:b w:val="0"/>
          <w:bCs w:val="0"/>
          <w:kern w:val="2"/>
          <w:sz w:val="21"/>
          <w:szCs w:val="21"/>
        </w:rPr>
        <w:t>景观绿化技术与管理指南丛书--景观植物造型与配置</w:t>
      </w:r>
      <w:r>
        <w:rPr>
          <w:rFonts w:hint="eastAsia"/>
          <w:b w:val="0"/>
          <w:bCs w:val="0"/>
          <w:kern w:val="2"/>
          <w:sz w:val="21"/>
          <w:szCs w:val="21"/>
        </w:rPr>
        <w:t>》</w:t>
      </w:r>
      <w:r>
        <w:rPr>
          <w:b w:val="0"/>
          <w:bCs w:val="0"/>
          <w:kern w:val="2"/>
          <w:sz w:val="21"/>
          <w:szCs w:val="21"/>
        </w:rPr>
        <w:t>作者:</w:t>
      </w:r>
      <w:r>
        <w:fldChar w:fldCharType="begin"/>
      </w:r>
      <w:r>
        <w:instrText xml:space="preserve"> HYPERLINK "http://search.dangdang.com/?key2=%B3%C2%D4%B6%BC%AA&amp;medium=01&amp;category_path=01.00.00.00.00.00" \t "_blank" </w:instrText>
      </w:r>
      <w:r>
        <w:fldChar w:fldCharType="separate"/>
      </w:r>
      <w:r>
        <w:rPr>
          <w:b w:val="0"/>
          <w:bCs w:val="0"/>
          <w:kern w:val="2"/>
          <w:sz w:val="21"/>
          <w:szCs w:val="21"/>
        </w:rPr>
        <w:t>陈远吉</w:t>
      </w:r>
      <w:r>
        <w:rPr>
          <w:b w:val="0"/>
          <w:bCs w:val="0"/>
          <w:kern w:val="2"/>
          <w:sz w:val="21"/>
          <w:szCs w:val="21"/>
        </w:rPr>
        <w:fldChar w:fldCharType="end"/>
      </w:r>
      <w:r>
        <w:rPr>
          <w:b w:val="0"/>
          <w:bCs w:val="0"/>
          <w:kern w:val="2"/>
          <w:sz w:val="21"/>
          <w:szCs w:val="21"/>
        </w:rPr>
        <w:t>主编出版社:</w:t>
      </w:r>
      <w:r>
        <w:fldChar w:fldCharType="begin"/>
      </w:r>
      <w:r>
        <w:instrText xml:space="preserve"> HYPERLINK "http://search.dangdang.com/?key3=%BB%AF%D1%A7%B9%A4%D2%B5%B3%F6%B0%E6%C9%E7&amp;medium=01&amp;category_path=01.00.00.00.00.00" \t "_blank" </w:instrText>
      </w:r>
      <w:r>
        <w:fldChar w:fldCharType="separate"/>
      </w:r>
      <w:r>
        <w:rPr>
          <w:b w:val="0"/>
          <w:bCs w:val="0"/>
          <w:kern w:val="2"/>
          <w:sz w:val="21"/>
          <w:szCs w:val="21"/>
        </w:rPr>
        <w:t>化学工业出版社</w:t>
      </w:r>
      <w:r>
        <w:rPr>
          <w:b w:val="0"/>
          <w:bCs w:val="0"/>
          <w:kern w:val="2"/>
          <w:sz w:val="21"/>
          <w:szCs w:val="21"/>
        </w:rPr>
        <w:fldChar w:fldCharType="end"/>
      </w:r>
      <w:r>
        <w:rPr>
          <w:b w:val="0"/>
          <w:bCs w:val="0"/>
          <w:kern w:val="2"/>
          <w:sz w:val="21"/>
          <w:szCs w:val="21"/>
        </w:rPr>
        <w:t>出版时间:2013年06月 </w:t>
      </w:r>
    </w:p>
    <w:p/>
    <w:p>
      <w:pPr>
        <w:adjustRightInd w:val="0"/>
        <w:snapToGrid w:val="0"/>
        <w:spacing w:line="360" w:lineRule="auto"/>
        <w:ind w:firstLine="562" w:firstLineChars="200"/>
        <w:rPr>
          <w:rFonts w:ascii="宋体" w:hAnsi="宋体" w:eastAsia="黑体"/>
          <w:b/>
          <w:bCs/>
          <w:sz w:val="28"/>
        </w:rPr>
      </w:pPr>
      <w:r>
        <w:rPr>
          <w:rFonts w:hint="eastAsia" w:ascii="黑体" w:hAnsi="宋体" w:eastAsia="黑体"/>
          <w:b/>
          <w:bCs/>
          <w:sz w:val="28"/>
        </w:rPr>
        <w:t>六、</w:t>
      </w:r>
      <w:r>
        <w:rPr>
          <w:rFonts w:hint="eastAsia" w:ascii="宋体" w:hAnsi="宋体" w:eastAsia="黑体"/>
          <w:b/>
          <w:bCs/>
          <w:sz w:val="28"/>
        </w:rPr>
        <w:t>课程的考核要求</w:t>
      </w:r>
    </w:p>
    <w:p>
      <w:pPr>
        <w:adjustRightInd w:val="0"/>
        <w:snapToGrid w:val="0"/>
        <w:spacing w:line="360" w:lineRule="auto"/>
        <w:jc w:val="left"/>
        <w:rPr>
          <w:rFonts w:ascii="宋体" w:hAnsi="宋体"/>
        </w:rPr>
      </w:pPr>
      <w:r>
        <w:rPr>
          <w:rFonts w:hint="eastAsia" w:ascii="宋体" w:hAnsi="宋体"/>
        </w:rPr>
        <w:t xml:space="preserve">     根据本课程的特点，采取过程考核、阶段考核和调研报告总评考核相结合的方式考核学生能力，注重调研过程的认真、详细、丰富和平时表现，参考学生互评情况综合评定学习效果。</w:t>
      </w:r>
    </w:p>
    <w:p>
      <w:pPr>
        <w:adjustRightInd w:val="0"/>
        <w:snapToGrid w:val="0"/>
        <w:spacing w:line="360" w:lineRule="auto"/>
        <w:jc w:val="left"/>
        <w:rPr>
          <w:rFonts w:hint="eastAsia" w:ascii="宋体" w:hAnsi="宋体"/>
        </w:rPr>
      </w:pPr>
      <w:r>
        <w:rPr>
          <w:rFonts w:hint="eastAsia" w:ascii="宋体" w:hAnsi="宋体"/>
        </w:rPr>
        <w:t xml:space="preserve">1、平时考核：占总分40%； </w:t>
      </w:r>
    </w:p>
    <w:p>
      <w:pPr>
        <w:adjustRightInd w:val="0"/>
        <w:snapToGrid w:val="0"/>
        <w:spacing w:line="360" w:lineRule="auto"/>
        <w:jc w:val="left"/>
        <w:rPr>
          <w:kern w:val="0"/>
          <w:szCs w:val="21"/>
        </w:rPr>
      </w:pPr>
      <w:r>
        <w:rPr>
          <w:rFonts w:hint="eastAsia" w:ascii="宋体" w:hAnsi="宋体"/>
        </w:rPr>
        <w:t>2、期末考核：占总分60%，调研报告</w:t>
      </w:r>
      <w:r>
        <w:rPr>
          <w:rFonts w:hint="eastAsia"/>
          <w:kern w:val="0"/>
        </w:rPr>
        <w:t>总体质量</w:t>
      </w:r>
      <w:r>
        <w:rPr>
          <w:kern w:val="0"/>
        </w:rPr>
        <w:t>。</w:t>
      </w:r>
    </w:p>
    <w:p>
      <w:pPr>
        <w:outlineLvl w:val="0"/>
        <w:rPr>
          <w:rFonts w:ascii="黑体" w:hAnsi="宋体" w:eastAsia="黑体"/>
          <w:bCs/>
        </w:rPr>
      </w:pPr>
      <w:bookmarkStart w:id="0" w:name="_GoBack"/>
      <w:bookmarkEnd w:id="0"/>
    </w:p>
    <w:sectPr>
      <w:footerReference r:id="rId3" w:type="default"/>
      <w:pgSz w:w="11906" w:h="16838"/>
      <w:pgMar w:top="1440" w:right="1797" w:bottom="1276"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楷体">
    <w:altName w:val="宋体"/>
    <w:panose1 w:val="00000000000000000000"/>
    <w:charset w:val="86"/>
    <w:family w:val="auto"/>
    <w:pitch w:val="default"/>
    <w:sig w:usb0="00000000" w:usb1="00000000" w:usb2="00000016" w:usb3="00000000" w:csb0="0004001F" w:csb1="00000000"/>
  </w:font>
  <w:font w:name="Verdana">
    <w:panose1 w:val="020B0604030504040204"/>
    <w:charset w:val="4D"/>
    <w:family w:val="roman"/>
    <w:pitch w:val="default"/>
    <w:sig w:usb0="A00006FF" w:usb1="4000205B" w:usb2="00000010" w:usb3="00000000" w:csb0="2000019F" w:csb1="00000000"/>
  </w:font>
  <w:font w:name="Tahoma">
    <w:panose1 w:val="020B0604030504040204"/>
    <w:charset w:val="00"/>
    <w:family w:val="auto"/>
    <w:pitch w:val="default"/>
    <w:sig w:usb0="E1002EFF" w:usb1="C000605B" w:usb2="00000029" w:usb3="00000000" w:csb0="200101FF" w:csb1="20280000"/>
  </w:font>
  <w:font w:name="华文行楷">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 PAGE   \* MERGEFORMAT </w:instrText>
    </w:r>
    <w:r>
      <w:fldChar w:fldCharType="separate"/>
    </w:r>
    <w:r>
      <w:rPr>
        <w:lang w:val="zh-CN"/>
      </w:rPr>
      <w:t>4</w:t>
    </w:r>
    <w: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734858"/>
    <w:multiLevelType w:val="multilevel"/>
    <w:tmpl w:val="40734858"/>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582BC20E"/>
    <w:multiLevelType w:val="singleLevel"/>
    <w:tmpl w:val="582BC20E"/>
    <w:lvl w:ilvl="0" w:tentative="0">
      <w:start w:val="5"/>
      <w:numFmt w:val="chineseCounting"/>
      <w:suff w:val="nothing"/>
      <w:lvlText w:val="%1、"/>
      <w:lvlJc w:val="left"/>
    </w:lvl>
  </w:abstractNum>
  <w:abstractNum w:abstractNumId="2">
    <w:nsid w:val="71E82D61"/>
    <w:multiLevelType w:val="multilevel"/>
    <w:tmpl w:val="71E82D61"/>
    <w:lvl w:ilvl="0" w:tentative="0">
      <w:start w:val="1"/>
      <w:numFmt w:val="chineseCountingThousand"/>
      <w:pStyle w:val="19"/>
      <w:lvlText w:val="%1、"/>
      <w:lvlJc w:val="left"/>
      <w:pPr>
        <w:tabs>
          <w:tab w:val="left" w:pos="630"/>
        </w:tabs>
        <w:ind w:left="630" w:hanging="420"/>
      </w:pPr>
      <w:rPr>
        <w:lang w:val="en-US"/>
      </w:rPr>
    </w:lvl>
    <w:lvl w:ilvl="1" w:tentative="0">
      <w:start w:val="1"/>
      <w:numFmt w:val="ideographEnclosedCircle"/>
      <w:lvlText w:val="%2、"/>
      <w:lvlJc w:val="left"/>
      <w:pPr>
        <w:tabs>
          <w:tab w:val="left" w:pos="1110"/>
        </w:tabs>
        <w:ind w:left="1110" w:hanging="480"/>
      </w:pPr>
      <w:rPr>
        <w:rFonts w:hint="eastAsia"/>
      </w:r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ED"/>
    <w:rsid w:val="00000DA7"/>
    <w:rsid w:val="000063AA"/>
    <w:rsid w:val="000111C1"/>
    <w:rsid w:val="00017760"/>
    <w:rsid w:val="00017A9E"/>
    <w:rsid w:val="00017F53"/>
    <w:rsid w:val="00040A81"/>
    <w:rsid w:val="0005720D"/>
    <w:rsid w:val="00090472"/>
    <w:rsid w:val="000917F0"/>
    <w:rsid w:val="000C5426"/>
    <w:rsid w:val="000F38AD"/>
    <w:rsid w:val="00101D3C"/>
    <w:rsid w:val="0010267C"/>
    <w:rsid w:val="00107A3A"/>
    <w:rsid w:val="001107EE"/>
    <w:rsid w:val="0011399A"/>
    <w:rsid w:val="00121F89"/>
    <w:rsid w:val="001221C1"/>
    <w:rsid w:val="0013602A"/>
    <w:rsid w:val="0014357D"/>
    <w:rsid w:val="001437FC"/>
    <w:rsid w:val="001575D1"/>
    <w:rsid w:val="00167C84"/>
    <w:rsid w:val="001764AC"/>
    <w:rsid w:val="001865B8"/>
    <w:rsid w:val="001C310A"/>
    <w:rsid w:val="001E5C6F"/>
    <w:rsid w:val="001E7AAF"/>
    <w:rsid w:val="00250B6C"/>
    <w:rsid w:val="00256CCD"/>
    <w:rsid w:val="00257B44"/>
    <w:rsid w:val="00257FE1"/>
    <w:rsid w:val="00261138"/>
    <w:rsid w:val="00273ECB"/>
    <w:rsid w:val="002829FF"/>
    <w:rsid w:val="00291E14"/>
    <w:rsid w:val="002975B4"/>
    <w:rsid w:val="002A4550"/>
    <w:rsid w:val="002A62CE"/>
    <w:rsid w:val="002A67EA"/>
    <w:rsid w:val="002A7D1F"/>
    <w:rsid w:val="002B331E"/>
    <w:rsid w:val="002F05D4"/>
    <w:rsid w:val="002F6834"/>
    <w:rsid w:val="002F7DEE"/>
    <w:rsid w:val="003121C3"/>
    <w:rsid w:val="0034551F"/>
    <w:rsid w:val="00346458"/>
    <w:rsid w:val="003471D7"/>
    <w:rsid w:val="00352380"/>
    <w:rsid w:val="00356313"/>
    <w:rsid w:val="0036098A"/>
    <w:rsid w:val="00377104"/>
    <w:rsid w:val="00387E56"/>
    <w:rsid w:val="0039166D"/>
    <w:rsid w:val="003A6D96"/>
    <w:rsid w:val="003D1731"/>
    <w:rsid w:val="003D2109"/>
    <w:rsid w:val="003E191F"/>
    <w:rsid w:val="003F2012"/>
    <w:rsid w:val="003F5AF7"/>
    <w:rsid w:val="00407041"/>
    <w:rsid w:val="004102D8"/>
    <w:rsid w:val="00412AE6"/>
    <w:rsid w:val="00412AF9"/>
    <w:rsid w:val="00417DCD"/>
    <w:rsid w:val="0043570E"/>
    <w:rsid w:val="0044297F"/>
    <w:rsid w:val="004450FB"/>
    <w:rsid w:val="00451774"/>
    <w:rsid w:val="00463C4B"/>
    <w:rsid w:val="004B4B1A"/>
    <w:rsid w:val="004C5232"/>
    <w:rsid w:val="004E5D71"/>
    <w:rsid w:val="004F0B86"/>
    <w:rsid w:val="00500628"/>
    <w:rsid w:val="00511072"/>
    <w:rsid w:val="00511B34"/>
    <w:rsid w:val="00513527"/>
    <w:rsid w:val="005146E4"/>
    <w:rsid w:val="00525B02"/>
    <w:rsid w:val="005522CA"/>
    <w:rsid w:val="005633E2"/>
    <w:rsid w:val="00565B85"/>
    <w:rsid w:val="005712B7"/>
    <w:rsid w:val="0059179A"/>
    <w:rsid w:val="005A4174"/>
    <w:rsid w:val="005B714B"/>
    <w:rsid w:val="005D0A76"/>
    <w:rsid w:val="005E028E"/>
    <w:rsid w:val="005E065F"/>
    <w:rsid w:val="00605BF0"/>
    <w:rsid w:val="00606417"/>
    <w:rsid w:val="00642381"/>
    <w:rsid w:val="00674018"/>
    <w:rsid w:val="00680407"/>
    <w:rsid w:val="00687D4D"/>
    <w:rsid w:val="006A7DED"/>
    <w:rsid w:val="006F66D4"/>
    <w:rsid w:val="007102FA"/>
    <w:rsid w:val="00710EFA"/>
    <w:rsid w:val="00711F80"/>
    <w:rsid w:val="00721F15"/>
    <w:rsid w:val="00727EDC"/>
    <w:rsid w:val="007334A5"/>
    <w:rsid w:val="0074279A"/>
    <w:rsid w:val="00746CFD"/>
    <w:rsid w:val="00752AA3"/>
    <w:rsid w:val="00766BC0"/>
    <w:rsid w:val="0077785D"/>
    <w:rsid w:val="007D068D"/>
    <w:rsid w:val="007D0DDD"/>
    <w:rsid w:val="007E1B8E"/>
    <w:rsid w:val="00811DD0"/>
    <w:rsid w:val="008326A3"/>
    <w:rsid w:val="00843EE1"/>
    <w:rsid w:val="0086070A"/>
    <w:rsid w:val="00866B03"/>
    <w:rsid w:val="00885C0E"/>
    <w:rsid w:val="00891B7C"/>
    <w:rsid w:val="008B6DDA"/>
    <w:rsid w:val="008B7885"/>
    <w:rsid w:val="008C1A26"/>
    <w:rsid w:val="008C6C06"/>
    <w:rsid w:val="008E0F93"/>
    <w:rsid w:val="008F33C6"/>
    <w:rsid w:val="008F4006"/>
    <w:rsid w:val="00924204"/>
    <w:rsid w:val="00932647"/>
    <w:rsid w:val="009779E9"/>
    <w:rsid w:val="00987926"/>
    <w:rsid w:val="009A4D99"/>
    <w:rsid w:val="009D0DD6"/>
    <w:rsid w:val="009D6567"/>
    <w:rsid w:val="009F3A2F"/>
    <w:rsid w:val="00A007D0"/>
    <w:rsid w:val="00A11C2F"/>
    <w:rsid w:val="00A32AE8"/>
    <w:rsid w:val="00A33273"/>
    <w:rsid w:val="00A360A8"/>
    <w:rsid w:val="00A4316A"/>
    <w:rsid w:val="00A51A88"/>
    <w:rsid w:val="00A60FA2"/>
    <w:rsid w:val="00A66C0B"/>
    <w:rsid w:val="00A952BC"/>
    <w:rsid w:val="00A95A9F"/>
    <w:rsid w:val="00AB7A88"/>
    <w:rsid w:val="00AC0D66"/>
    <w:rsid w:val="00AC5451"/>
    <w:rsid w:val="00AC7778"/>
    <w:rsid w:val="00AD781F"/>
    <w:rsid w:val="00B21C22"/>
    <w:rsid w:val="00B47BEB"/>
    <w:rsid w:val="00B5088C"/>
    <w:rsid w:val="00B5478D"/>
    <w:rsid w:val="00B6382A"/>
    <w:rsid w:val="00B63FBB"/>
    <w:rsid w:val="00B71894"/>
    <w:rsid w:val="00B73D5C"/>
    <w:rsid w:val="00BC39B6"/>
    <w:rsid w:val="00BC3DE5"/>
    <w:rsid w:val="00BD3A23"/>
    <w:rsid w:val="00BD6E81"/>
    <w:rsid w:val="00BE0E87"/>
    <w:rsid w:val="00BE771D"/>
    <w:rsid w:val="00BF3DC4"/>
    <w:rsid w:val="00BF5407"/>
    <w:rsid w:val="00C11A8B"/>
    <w:rsid w:val="00C160DE"/>
    <w:rsid w:val="00C16264"/>
    <w:rsid w:val="00C47C61"/>
    <w:rsid w:val="00C631E8"/>
    <w:rsid w:val="00C73790"/>
    <w:rsid w:val="00CA7A71"/>
    <w:rsid w:val="00CB6585"/>
    <w:rsid w:val="00CC3898"/>
    <w:rsid w:val="00CC45B2"/>
    <w:rsid w:val="00CC6953"/>
    <w:rsid w:val="00CD41AF"/>
    <w:rsid w:val="00CF0F0A"/>
    <w:rsid w:val="00D377DF"/>
    <w:rsid w:val="00D42589"/>
    <w:rsid w:val="00D4355B"/>
    <w:rsid w:val="00D45F58"/>
    <w:rsid w:val="00D66B35"/>
    <w:rsid w:val="00D6703E"/>
    <w:rsid w:val="00D84BA4"/>
    <w:rsid w:val="00DA591A"/>
    <w:rsid w:val="00DB422B"/>
    <w:rsid w:val="00DE1AA0"/>
    <w:rsid w:val="00DE3661"/>
    <w:rsid w:val="00DF63EB"/>
    <w:rsid w:val="00E016B1"/>
    <w:rsid w:val="00E1000D"/>
    <w:rsid w:val="00E10B35"/>
    <w:rsid w:val="00E327CB"/>
    <w:rsid w:val="00E37FFB"/>
    <w:rsid w:val="00E41CA5"/>
    <w:rsid w:val="00E47C50"/>
    <w:rsid w:val="00E550CB"/>
    <w:rsid w:val="00E551E5"/>
    <w:rsid w:val="00E67665"/>
    <w:rsid w:val="00E70086"/>
    <w:rsid w:val="00E7085C"/>
    <w:rsid w:val="00E71E46"/>
    <w:rsid w:val="00EA60AF"/>
    <w:rsid w:val="00EB1027"/>
    <w:rsid w:val="00EB79B3"/>
    <w:rsid w:val="00EC5855"/>
    <w:rsid w:val="00ED57CB"/>
    <w:rsid w:val="00ED7163"/>
    <w:rsid w:val="00EE0F3B"/>
    <w:rsid w:val="00EE42AC"/>
    <w:rsid w:val="00F12CB7"/>
    <w:rsid w:val="00F174FA"/>
    <w:rsid w:val="00F34B93"/>
    <w:rsid w:val="00F516A3"/>
    <w:rsid w:val="00F627B0"/>
    <w:rsid w:val="00F7717B"/>
    <w:rsid w:val="00FA149A"/>
    <w:rsid w:val="00FB6A42"/>
    <w:rsid w:val="00FC5B8D"/>
    <w:rsid w:val="0B0B3EB8"/>
    <w:rsid w:val="1265347F"/>
    <w:rsid w:val="15931B28"/>
    <w:rsid w:val="166A5654"/>
    <w:rsid w:val="1D571676"/>
    <w:rsid w:val="1FC94D99"/>
    <w:rsid w:val="265117CC"/>
    <w:rsid w:val="2B523041"/>
    <w:rsid w:val="2DCE29D3"/>
    <w:rsid w:val="34B06FE9"/>
    <w:rsid w:val="3A522E46"/>
    <w:rsid w:val="3BA40F15"/>
    <w:rsid w:val="3E9735B9"/>
    <w:rsid w:val="3F214559"/>
    <w:rsid w:val="40B926FC"/>
    <w:rsid w:val="422E17B6"/>
    <w:rsid w:val="4D1C5AFF"/>
    <w:rsid w:val="4D646AF3"/>
    <w:rsid w:val="4EB40B8C"/>
    <w:rsid w:val="50642D26"/>
    <w:rsid w:val="52E6368D"/>
    <w:rsid w:val="5AEA51A6"/>
    <w:rsid w:val="69CB1806"/>
    <w:rsid w:val="6F4550FB"/>
    <w:rsid w:val="7BA66235"/>
    <w:rsid w:val="7E244FB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3"/>
    <w:basedOn w:val="1"/>
    <w:next w:val="1"/>
    <w:qFormat/>
    <w:uiPriority w:val="0"/>
    <w:pPr>
      <w:widowControl/>
      <w:jc w:val="left"/>
      <w:outlineLvl w:val="2"/>
    </w:pPr>
    <w:rPr>
      <w:rFonts w:ascii="宋体" w:hAnsi="宋体" w:cs="宋体"/>
      <w:b/>
      <w:bCs/>
      <w:kern w:val="0"/>
      <w:sz w:val="27"/>
      <w:szCs w:val="27"/>
    </w:rPr>
  </w:style>
  <w:style w:type="character" w:default="1" w:styleId="10">
    <w:name w:val="Default Paragraph Font"/>
    <w:semiHidden/>
    <w:unhideWhenUsed/>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Indent"/>
    <w:basedOn w:val="1"/>
    <w:qFormat/>
    <w:uiPriority w:val="0"/>
    <w:pPr>
      <w:spacing w:before="100" w:beforeAutospacing="1" w:after="100" w:afterAutospacing="1" w:line="440" w:lineRule="exact"/>
      <w:ind w:firstLine="720" w:firstLineChars="300"/>
      <w:jc w:val="left"/>
    </w:pPr>
    <w:rPr>
      <w:sz w:val="24"/>
    </w:rPr>
  </w:style>
  <w:style w:type="paragraph" w:styleId="5">
    <w:name w:val="Date"/>
    <w:basedOn w:val="1"/>
    <w:next w:val="1"/>
    <w:qFormat/>
    <w:uiPriority w:val="0"/>
    <w:pPr>
      <w:ind w:left="100" w:leftChars="2500"/>
    </w:pPr>
    <w:rPr>
      <w:rFonts w:eastAsia="华文楷体"/>
      <w:sz w:val="28"/>
    </w:rPr>
  </w:style>
  <w:style w:type="paragraph" w:styleId="6">
    <w:name w:val="Balloon Text"/>
    <w:basedOn w:val="1"/>
    <w:semiHidden/>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jc w:val="left"/>
    </w:pPr>
    <w:rPr>
      <w:rFonts w:ascii="Verdana" w:hAnsi="Verdana" w:cs="宋体"/>
      <w:color w:val="000000"/>
      <w:kern w:val="0"/>
      <w:sz w:val="18"/>
      <w:szCs w:val="18"/>
    </w:rPr>
  </w:style>
  <w:style w:type="character" w:styleId="11">
    <w:name w:val="Strong"/>
    <w:qFormat/>
    <w:uiPriority w:val="22"/>
    <w:rPr>
      <w:b/>
      <w:bCs/>
    </w:rPr>
  </w:style>
  <w:style w:type="character" w:styleId="12">
    <w:name w:val="page number"/>
    <w:basedOn w:val="10"/>
    <w:qFormat/>
    <w:uiPriority w:val="0"/>
  </w:style>
  <w:style w:type="character" w:styleId="13">
    <w:name w:val="Hyperlink"/>
    <w:qFormat/>
    <w:uiPriority w:val="0"/>
    <w:rPr>
      <w:color w:val="000000"/>
      <w:u w:val="none"/>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6">
    <w:name w:val="页脚字符"/>
    <w:link w:val="7"/>
    <w:qFormat/>
    <w:uiPriority w:val="99"/>
    <w:rPr>
      <w:kern w:val="2"/>
      <w:sz w:val="18"/>
      <w:szCs w:val="18"/>
    </w:rPr>
  </w:style>
  <w:style w:type="character" w:customStyle="1" w:styleId="17">
    <w:name w:val="yongri_newsarticles_title1"/>
    <w:qFormat/>
    <w:uiPriority w:val="0"/>
    <w:rPr>
      <w:rFonts w:ascii="Tahoma" w:hAnsi="Tahoma"/>
      <w:b/>
      <w:sz w:val="27"/>
    </w:rPr>
  </w:style>
  <w:style w:type="character" w:customStyle="1" w:styleId="18">
    <w:name w:val="neirong1"/>
    <w:qFormat/>
    <w:uiPriority w:val="0"/>
    <w:rPr>
      <w:color w:val="333333"/>
      <w:sz w:val="18"/>
      <w:szCs w:val="18"/>
    </w:rPr>
  </w:style>
  <w:style w:type="paragraph" w:customStyle="1" w:styleId="19">
    <w:name w:val="样式1"/>
    <w:basedOn w:val="1"/>
    <w:semiHidden/>
    <w:qFormat/>
    <w:uiPriority w:val="0"/>
    <w:pPr>
      <w:numPr>
        <w:ilvl w:val="0"/>
        <w:numId w:val="1"/>
      </w:numPr>
      <w:jc w:val="left"/>
    </w:pPr>
    <w:rPr>
      <w:rFonts w:eastAsia="黑体"/>
      <w:b/>
      <w:sz w:val="24"/>
    </w:rPr>
  </w:style>
  <w:style w:type="character" w:customStyle="1" w:styleId="20">
    <w:name w:val="标题 1字符"/>
    <w:basedOn w:val="10"/>
    <w:link w:val="2"/>
    <w:qFormat/>
    <w:uiPriority w:val="9"/>
    <w:rPr>
      <w:b/>
      <w:bCs/>
      <w:kern w:val="44"/>
      <w:sz w:val="44"/>
      <w:szCs w:val="44"/>
    </w:rPr>
  </w:style>
  <w:style w:type="character" w:customStyle="1" w:styleId="21">
    <w:name w:val="apple-style-span"/>
    <w:basedOn w:val="10"/>
    <w:qFormat/>
    <w:uiPriority w:val="0"/>
  </w:style>
  <w:style w:type="paragraph" w:styleId="22">
    <w:name w:val="List Paragraph"/>
    <w:basedOn w:val="1"/>
    <w:qFormat/>
    <w:uiPriority w:val="99"/>
    <w:pPr>
      <w:ind w:firstLine="420" w:firstLineChars="200"/>
    </w:pPr>
  </w:style>
  <w:style w:type="character" w:customStyle="1" w:styleId="23">
    <w:name w:val="a-size-large"/>
    <w:basedOn w:val="10"/>
    <w:qFormat/>
    <w:uiPriority w:val="0"/>
  </w:style>
  <w:style w:type="character" w:customStyle="1" w:styleId="24">
    <w:name w:val="author"/>
    <w:basedOn w:val="10"/>
    <w:qFormat/>
    <w:uiPriority w:val="0"/>
  </w:style>
  <w:style w:type="character" w:customStyle="1" w:styleId="25">
    <w:name w:val="apple-converted-space"/>
    <w:basedOn w:val="10"/>
    <w:qFormat/>
    <w:uiPriority w:val="0"/>
  </w:style>
  <w:style w:type="character" w:customStyle="1" w:styleId="26">
    <w:name w:val="a-color-secondary"/>
    <w:basedOn w:val="10"/>
    <w:qFormat/>
    <w:uiPriority w:val="0"/>
  </w:style>
  <w:style w:type="character" w:customStyle="1" w:styleId="27">
    <w:name w:val="more"/>
    <w:basedOn w:val="10"/>
    <w:qFormat/>
    <w:uiPriority w:val="0"/>
  </w:style>
  <w:style w:type="character" w:customStyle="1" w:styleId="28">
    <w:name w:val="morecount"/>
    <w:basedOn w:val="10"/>
    <w:qFormat/>
    <w:uiPriority w:val="0"/>
  </w:style>
  <w:style w:type="character" w:customStyle="1" w:styleId="29">
    <w:name w:val="t1"/>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406</Words>
  <Characters>2320</Characters>
  <Lines>19</Lines>
  <Paragraphs>5</Paragraphs>
  <TotalTime>88</TotalTime>
  <ScaleCrop>false</ScaleCrop>
  <LinksUpToDate>false</LinksUpToDate>
  <CharactersWithSpaces>2721</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2018-09-07T06:38:00Z</dcterms:created>
  <dc:creator>微软用户</dc:creator>
  <cp:lastModifiedBy>酸梅汤</cp:lastModifiedBy>
  <cp:lastPrinted>2016-03-29T07:16:00Z</cp:lastPrinted>
  <dcterms:modified xsi:type="dcterms:W3CDTF">2019-10-10T14:23:29Z</dcterms:modified>
  <dc:title>应教字 [2008] 14号</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KSORubyTemplateID" linkTarget="0">
    <vt:lpwstr>6</vt:lpwstr>
  </property>
</Properties>
</file>