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华文行楷" w:eastAsia="华文行楷"/>
          <w:b/>
          <w:bCs/>
          <w:sz w:val="72"/>
          <w:szCs w:val="72"/>
        </w:rPr>
      </w:pPr>
      <w:r>
        <w:rPr>
          <w:rFonts w:hint="eastAsia" w:ascii="华文行楷" w:eastAsia="华文行楷"/>
          <w:b/>
          <w:bCs/>
          <w:sz w:val="72"/>
          <w:szCs w:val="72"/>
        </w:rPr>
        <w:t>南京审计大学金审学院</w:t>
      </w:r>
    </w:p>
    <w:p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>
      <w:pPr>
        <w:adjustRightInd w:val="0"/>
        <w:snapToGrid w:val="0"/>
        <w:jc w:val="center"/>
        <w:rPr>
          <w:rFonts w:ascii="黑体" w:eastAsia="黑体"/>
          <w:b/>
          <w:bCs/>
          <w:sz w:val="44"/>
          <w:szCs w:val="44"/>
        </w:rPr>
      </w:pPr>
      <w:r>
        <w:rPr>
          <w:rFonts w:hint="eastAsia" w:ascii="黑体" w:eastAsia="黑体"/>
          <w:b/>
          <w:bCs/>
          <w:sz w:val="44"/>
          <w:szCs w:val="44"/>
        </w:rPr>
        <w:t>《家居类型设计调研</w:t>
      </w:r>
      <w:r>
        <w:rPr>
          <w:rFonts w:hint="eastAsia" w:ascii="黑体" w:eastAsia="黑体"/>
          <w:b/>
          <w:bCs/>
          <w:sz w:val="44"/>
          <w:szCs w:val="44"/>
          <w:lang w:val="en-US" w:eastAsia="zh-CN"/>
        </w:rPr>
        <w:t>二</w:t>
      </w:r>
      <w:r>
        <w:rPr>
          <w:rFonts w:hint="eastAsia" w:ascii="黑体" w:eastAsia="黑体"/>
          <w:b/>
          <w:bCs/>
          <w:sz w:val="44"/>
          <w:szCs w:val="44"/>
        </w:rPr>
        <w:t>》教学大纲</w:t>
      </w:r>
    </w:p>
    <w:p>
      <w:pPr>
        <w:adjustRightInd w:val="0"/>
        <w:snapToGrid w:val="0"/>
        <w:jc w:val="center"/>
        <w:rPr>
          <w:rFonts w:ascii="宋体" w:hAnsi="宋体"/>
          <w:sz w:val="44"/>
          <w:szCs w:val="44"/>
        </w:rPr>
      </w:pPr>
    </w:p>
    <w:p>
      <w:pPr>
        <w:tabs>
          <w:tab w:val="center" w:pos="4153"/>
          <w:tab w:val="left" w:pos="6999"/>
        </w:tabs>
        <w:adjustRightInd w:val="0"/>
        <w:snapToGrid w:val="0"/>
        <w:spacing w:line="360" w:lineRule="auto"/>
        <w:jc w:val="left"/>
        <w:rPr>
          <w:rFonts w:ascii="黑体" w:eastAsia="黑体"/>
          <w:b/>
          <w:bCs/>
          <w:sz w:val="44"/>
          <w:szCs w:val="44"/>
        </w:rPr>
      </w:pPr>
    </w:p>
    <w:p>
      <w:pPr>
        <w:tabs>
          <w:tab w:val="center" w:pos="4153"/>
          <w:tab w:val="left" w:pos="6999"/>
        </w:tabs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  <w:r>
        <w:rPr>
          <w:rFonts w:hint="eastAsia" w:ascii="黑体" w:eastAsia="黑体"/>
          <w:b/>
          <w:bCs/>
          <w:sz w:val="36"/>
          <w:szCs w:val="36"/>
        </w:rPr>
        <w:t xml:space="preserve">  （</w:t>
      </w:r>
      <w:r>
        <w:rPr>
          <w:b/>
          <w:sz w:val="36"/>
          <w:szCs w:val="36"/>
        </w:rPr>
        <w:t>Research on</w:t>
      </w:r>
      <w:r>
        <w:rPr>
          <w:rFonts w:hint="eastAsia"/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home and furnitur</w:t>
      </w:r>
      <w:r>
        <w:rPr>
          <w:rFonts w:hint="eastAsia"/>
          <w:b/>
          <w:sz w:val="36"/>
          <w:szCs w:val="36"/>
        </w:rPr>
        <w:t>ing</w:t>
      </w:r>
      <w:r>
        <w:rPr>
          <w:b/>
          <w:sz w:val="36"/>
          <w:szCs w:val="36"/>
        </w:rPr>
        <w:t xml:space="preserve"> design</w:t>
      </w:r>
      <w:r>
        <w:rPr>
          <w:rFonts w:hint="eastAsia" w:ascii="黑体" w:eastAsia="黑体"/>
          <w:b/>
          <w:bCs/>
          <w:sz w:val="36"/>
          <w:szCs w:val="36"/>
        </w:rPr>
        <w:t>）</w:t>
      </w: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ind w:firstLine="2700" w:firstLineChars="900"/>
        <w:rPr>
          <w:rFonts w:eastAsia="黑体"/>
          <w:sz w:val="30"/>
        </w:rPr>
      </w:pPr>
      <w:r>
        <w:rPr>
          <w:rFonts w:hint="eastAsia" w:eastAsia="黑体"/>
          <w:sz w:val="30"/>
        </w:rPr>
        <w:t>制定单位：</w:t>
      </w:r>
      <w:r>
        <w:rPr>
          <w:rFonts w:hint="eastAsia" w:asciiTheme="minorEastAsia" w:hAnsiTheme="minorEastAsia" w:eastAsiaTheme="minorEastAsia"/>
          <w:sz w:val="30"/>
        </w:rPr>
        <w:t>艺术设计学院</w:t>
      </w:r>
    </w:p>
    <w:p>
      <w:pPr>
        <w:adjustRightInd w:val="0"/>
        <w:snapToGrid w:val="0"/>
        <w:spacing w:line="360" w:lineRule="auto"/>
        <w:ind w:firstLine="2700" w:firstLineChars="900"/>
        <w:rPr>
          <w:rFonts w:hint="eastAsia" w:eastAsia="黑体"/>
          <w:color w:val="000000"/>
          <w:sz w:val="30"/>
          <w:lang w:eastAsia="zh-CN"/>
        </w:rPr>
      </w:pPr>
      <w:r>
        <w:rPr>
          <w:rFonts w:hint="eastAsia" w:eastAsia="黑体"/>
          <w:color w:val="000000"/>
          <w:sz w:val="30"/>
        </w:rPr>
        <w:t>制 定 人：</w:t>
      </w:r>
      <w:r>
        <w:rPr>
          <w:rFonts w:hint="eastAsia" w:asciiTheme="minorEastAsia" w:hAnsiTheme="minorEastAsia" w:eastAsiaTheme="minorEastAsia"/>
          <w:color w:val="000000"/>
          <w:sz w:val="30"/>
          <w:lang w:eastAsia="zh-CN"/>
        </w:rPr>
        <w:t>徐晨艳</w:t>
      </w:r>
    </w:p>
    <w:p>
      <w:pPr>
        <w:adjustRightInd w:val="0"/>
        <w:snapToGrid w:val="0"/>
        <w:spacing w:line="360" w:lineRule="auto"/>
        <w:ind w:firstLine="2700" w:firstLineChars="900"/>
        <w:rPr>
          <w:rFonts w:eastAsia="黑体"/>
          <w:color w:val="000000"/>
          <w:sz w:val="30"/>
        </w:rPr>
      </w:pPr>
      <w:r>
        <w:rPr>
          <w:rFonts w:hint="eastAsia" w:eastAsia="黑体"/>
          <w:color w:val="000000"/>
          <w:sz w:val="30"/>
        </w:rPr>
        <w:t>审 核 人：</w:t>
      </w:r>
      <w:r>
        <w:rPr>
          <w:rFonts w:hint="eastAsia" w:asciiTheme="minorEastAsia" w:hAnsiTheme="minorEastAsia" w:eastAsiaTheme="minorEastAsia"/>
          <w:color w:val="000000"/>
          <w:sz w:val="30"/>
        </w:rPr>
        <w:t>吕游</w:t>
      </w:r>
      <w:r>
        <w:rPr>
          <w:rFonts w:eastAsia="黑体"/>
          <w:color w:val="000000"/>
          <w:sz w:val="30"/>
        </w:rPr>
        <w:t xml:space="preserve"> </w:t>
      </w:r>
    </w:p>
    <w:p>
      <w:pPr>
        <w:adjustRightInd w:val="0"/>
        <w:snapToGrid w:val="0"/>
        <w:spacing w:line="360" w:lineRule="auto"/>
        <w:ind w:firstLine="2700" w:firstLineChars="900"/>
        <w:rPr>
          <w:rFonts w:ascii="黑体" w:eastAsia="黑体"/>
          <w:b/>
          <w:bCs/>
          <w:szCs w:val="21"/>
        </w:rPr>
      </w:pPr>
      <w:r>
        <w:rPr>
          <w:rFonts w:hint="eastAsia" w:eastAsia="黑体"/>
          <w:sz w:val="30"/>
        </w:rPr>
        <w:t>编写时间：</w:t>
      </w:r>
      <w:r>
        <w:rPr>
          <w:rFonts w:hint="eastAsia" w:ascii="宋体" w:hAnsi="宋体"/>
          <w:sz w:val="30"/>
        </w:rPr>
        <w:t>2019年0</w:t>
      </w:r>
      <w:r>
        <w:rPr>
          <w:rFonts w:hint="eastAsia" w:ascii="宋体" w:hAnsi="宋体"/>
          <w:sz w:val="30"/>
          <w:lang w:val="en-US" w:eastAsia="zh-CN"/>
        </w:rPr>
        <w:t>8</w:t>
      </w:r>
      <w:r>
        <w:rPr>
          <w:rFonts w:hint="eastAsia" w:ascii="宋体" w:hAnsi="宋体"/>
          <w:sz w:val="30"/>
        </w:rPr>
        <w:t>月02日</w:t>
      </w:r>
    </w:p>
    <w:p>
      <w:pPr>
        <w:adjustRightInd w:val="0"/>
        <w:snapToGrid w:val="0"/>
        <w:spacing w:line="360" w:lineRule="auto"/>
        <w:rPr>
          <w:rFonts w:ascii="黑体" w:hAnsi="宋体" w:eastAsia="黑体"/>
          <w:b/>
        </w:rPr>
      </w:pPr>
    </w:p>
    <w:p>
      <w:pPr>
        <w:adjustRightInd w:val="0"/>
        <w:snapToGrid w:val="0"/>
        <w:spacing w:line="360" w:lineRule="auto"/>
        <w:rPr>
          <w:rFonts w:ascii="黑体" w:hAnsi="宋体" w:eastAsia="黑体"/>
          <w:b/>
        </w:rPr>
      </w:pPr>
    </w:p>
    <w:p>
      <w:pPr>
        <w:adjustRightInd w:val="0"/>
        <w:snapToGrid w:val="0"/>
        <w:spacing w:line="360" w:lineRule="auto"/>
        <w:rPr>
          <w:rFonts w:ascii="黑体" w:hAnsi="宋体" w:eastAsia="黑体"/>
          <w:b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宋体" w:eastAsia="黑体"/>
          <w:b/>
          <w:sz w:val="32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宋体" w:eastAsia="黑体"/>
          <w:b/>
          <w:sz w:val="32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宋体" w:eastAsia="黑体"/>
          <w:b/>
          <w:sz w:val="32"/>
        </w:rPr>
      </w:pPr>
      <w:r>
        <w:rPr>
          <w:rFonts w:hint="eastAsia" w:ascii="黑体" w:hAnsi="宋体" w:eastAsia="黑体"/>
          <w:b/>
          <w:sz w:val="32"/>
        </w:rPr>
        <w:t>课程说明</w:t>
      </w:r>
    </w:p>
    <w:p>
      <w:pPr>
        <w:adjustRightInd w:val="0"/>
        <w:snapToGrid w:val="0"/>
        <w:spacing w:line="360" w:lineRule="auto"/>
        <w:ind w:firstLine="562" w:firstLineChars="200"/>
        <w:rPr>
          <w:rFonts w:ascii="黑体" w:hAnsi="宋体" w:eastAsia="黑体"/>
          <w:b/>
          <w:sz w:val="28"/>
        </w:rPr>
      </w:pPr>
      <w:r>
        <w:rPr>
          <w:rFonts w:hint="eastAsia" w:ascii="黑体" w:hAnsi="宋体" w:eastAsia="黑体"/>
          <w:b/>
          <w:sz w:val="28"/>
        </w:rPr>
        <w:t>一、课程概述：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黑体"/>
          <w:bCs/>
          <w:sz w:val="24"/>
        </w:rPr>
      </w:pPr>
      <w:r>
        <w:rPr>
          <w:rFonts w:hint="eastAsia" w:ascii="黑体" w:hAnsi="宋体" w:eastAsia="黑体"/>
          <w:bCs/>
          <w:sz w:val="24"/>
        </w:rPr>
        <w:t>（一）</w:t>
      </w:r>
      <w:r>
        <w:rPr>
          <w:rFonts w:hint="eastAsia" w:eastAsia="黑体"/>
          <w:bCs/>
          <w:sz w:val="24"/>
        </w:rPr>
        <w:t>课</w:t>
      </w:r>
      <w:r>
        <w:rPr>
          <w:rFonts w:hint="eastAsia" w:ascii="宋体" w:hAnsi="宋体" w:eastAsia="黑体"/>
          <w:bCs/>
          <w:sz w:val="24"/>
        </w:rPr>
        <w:t>程属性及课程介绍</w:t>
      </w:r>
    </w:p>
    <w:p>
      <w:pPr>
        <w:spacing w:line="460" w:lineRule="exact"/>
        <w:ind w:firstLine="420" w:firstLineChars="200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《</w:t>
      </w:r>
      <w:r>
        <w:rPr>
          <w:rFonts w:hint="eastAsia" w:ascii="宋体" w:hAnsi="宋体" w:cs="宋体"/>
          <w:color w:val="000000"/>
          <w:kern w:val="0"/>
          <w:szCs w:val="21"/>
        </w:rPr>
        <w:t>家居类型设计调研</w:t>
      </w:r>
      <w:r>
        <w:rPr>
          <w:rFonts w:hint="eastAsia" w:ascii="宋体" w:hAnsi="宋体" w:cs="宋体"/>
          <w:color w:val="000000"/>
          <w:kern w:val="0"/>
          <w:szCs w:val="21"/>
          <w:lang w:eastAsia="zh-CN"/>
        </w:rPr>
        <w:t>二</w:t>
      </w:r>
      <w:r>
        <w:rPr>
          <w:rFonts w:ascii="宋体" w:hAnsi="宋体" w:cs="宋体"/>
          <w:color w:val="000000"/>
          <w:kern w:val="0"/>
          <w:szCs w:val="21"/>
        </w:rPr>
        <w:t>》是</w:t>
      </w:r>
      <w:r>
        <w:rPr>
          <w:rFonts w:hint="eastAsia" w:ascii="宋体" w:hAnsi="宋体" w:cs="宋体"/>
          <w:color w:val="000000"/>
          <w:kern w:val="0"/>
          <w:szCs w:val="21"/>
          <w:lang w:eastAsia="zh-CN"/>
        </w:rPr>
        <w:t>专业实践教学环节</w:t>
      </w:r>
      <w:r>
        <w:rPr>
          <w:rFonts w:hint="eastAsia" w:ascii="宋体" w:hAnsi="宋体" w:cs="宋体"/>
          <w:color w:val="000000"/>
          <w:kern w:val="0"/>
          <w:szCs w:val="21"/>
        </w:rPr>
        <w:t>，通过对室内</w:t>
      </w:r>
      <w:r>
        <w:rPr>
          <w:rFonts w:hint="eastAsia" w:ascii="宋体" w:hAnsi="宋体" w:cs="宋体"/>
          <w:color w:val="000000"/>
          <w:kern w:val="0"/>
          <w:szCs w:val="21"/>
          <w:lang w:eastAsia="zh-CN"/>
        </w:rPr>
        <w:t>陈设设计的</w:t>
      </w:r>
      <w:r>
        <w:rPr>
          <w:rFonts w:hint="eastAsia" w:ascii="宋体" w:hAnsi="宋体" w:cs="宋体"/>
          <w:color w:val="000000"/>
          <w:kern w:val="0"/>
          <w:szCs w:val="21"/>
        </w:rPr>
        <w:t>调研</w:t>
      </w:r>
      <w:r>
        <w:rPr>
          <w:rFonts w:hint="eastAsia" w:ascii="宋体" w:hAnsi="宋体" w:cs="宋体"/>
          <w:color w:val="000000"/>
          <w:kern w:val="0"/>
          <w:szCs w:val="21"/>
          <w:lang w:eastAsia="zh-CN"/>
        </w:rPr>
        <w:t>分析，</w:t>
      </w:r>
      <w:r>
        <w:rPr>
          <w:rFonts w:hint="eastAsia" w:ascii="宋体" w:hAnsi="宋体" w:cs="宋体"/>
          <w:color w:val="000000"/>
          <w:kern w:val="0"/>
          <w:szCs w:val="21"/>
        </w:rPr>
        <w:t>了解掌握当下家居</w:t>
      </w:r>
      <w:r>
        <w:rPr>
          <w:rFonts w:hint="eastAsia" w:ascii="宋体" w:hAnsi="宋体" w:cs="宋体"/>
          <w:color w:val="000000"/>
          <w:kern w:val="0"/>
          <w:szCs w:val="21"/>
          <w:lang w:eastAsia="zh-CN"/>
        </w:rPr>
        <w:t>陈设</w:t>
      </w:r>
      <w:r>
        <w:rPr>
          <w:rFonts w:hint="eastAsia" w:ascii="宋体" w:hAnsi="宋体" w:cs="宋体"/>
          <w:color w:val="000000"/>
          <w:kern w:val="0"/>
          <w:szCs w:val="21"/>
        </w:rPr>
        <w:t>设计的特点及发展的趋势，</w:t>
      </w:r>
      <w:r>
        <w:rPr>
          <w:rFonts w:hint="eastAsia" w:ascii="宋体" w:hAnsi="宋体" w:cs="宋体"/>
          <w:color w:val="000000"/>
          <w:kern w:val="0"/>
          <w:szCs w:val="21"/>
          <w:lang w:eastAsia="zh-CN"/>
        </w:rPr>
        <w:t>掌握陈设原则，</w:t>
      </w:r>
      <w:r>
        <w:rPr>
          <w:rFonts w:hint="eastAsia" w:ascii="宋体" w:hAnsi="宋体" w:cs="宋体"/>
          <w:color w:val="000000"/>
          <w:kern w:val="0"/>
          <w:szCs w:val="21"/>
        </w:rPr>
        <w:t>培养大家对家居</w:t>
      </w:r>
      <w:r>
        <w:rPr>
          <w:rFonts w:hint="eastAsia" w:ascii="宋体" w:hAnsi="宋体" w:cs="宋体"/>
          <w:color w:val="000000"/>
          <w:kern w:val="0"/>
          <w:szCs w:val="21"/>
          <w:lang w:eastAsia="zh-CN"/>
        </w:rPr>
        <w:t>陈设</w:t>
      </w:r>
      <w:r>
        <w:rPr>
          <w:rFonts w:hint="eastAsia" w:ascii="宋体" w:hAnsi="宋体" w:cs="宋体"/>
          <w:color w:val="000000"/>
          <w:kern w:val="0"/>
          <w:szCs w:val="21"/>
        </w:rPr>
        <w:t>的鉴赏能力，家居</w:t>
      </w:r>
      <w:r>
        <w:rPr>
          <w:rFonts w:hint="eastAsia" w:ascii="宋体" w:hAnsi="宋体" w:cs="宋体"/>
          <w:color w:val="000000"/>
          <w:kern w:val="0"/>
          <w:szCs w:val="21"/>
          <w:lang w:eastAsia="zh-CN"/>
        </w:rPr>
        <w:t>陈设</w:t>
      </w:r>
      <w:r>
        <w:rPr>
          <w:rFonts w:hint="eastAsia" w:ascii="宋体" w:hAnsi="宋体" w:cs="宋体"/>
          <w:color w:val="000000"/>
          <w:kern w:val="0"/>
          <w:szCs w:val="21"/>
        </w:rPr>
        <w:t>的概念和类型，并初步掌握进行家居</w:t>
      </w:r>
      <w:r>
        <w:rPr>
          <w:rFonts w:hint="eastAsia" w:ascii="宋体" w:hAnsi="宋体" w:cs="宋体"/>
          <w:color w:val="000000"/>
          <w:kern w:val="0"/>
          <w:szCs w:val="21"/>
          <w:lang w:eastAsia="zh-CN"/>
        </w:rPr>
        <w:t>陈设</w:t>
      </w:r>
      <w:r>
        <w:rPr>
          <w:rFonts w:hint="eastAsia" w:ascii="宋体" w:hAnsi="宋体" w:cs="宋体"/>
          <w:color w:val="000000"/>
          <w:kern w:val="0"/>
          <w:szCs w:val="21"/>
        </w:rPr>
        <w:t>设计的能力。</w:t>
      </w:r>
    </w:p>
    <w:p>
      <w:pPr>
        <w:spacing w:line="460" w:lineRule="exact"/>
        <w:ind w:firstLine="420" w:firstLineChars="200"/>
        <w:rPr>
          <w:rFonts w:ascii="宋体" w:hAnsi="宋体"/>
        </w:rPr>
      </w:pP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黑体"/>
          <w:sz w:val="24"/>
        </w:rPr>
      </w:pPr>
      <w:r>
        <w:rPr>
          <w:rFonts w:hint="eastAsia" w:ascii="宋体" w:hAnsi="宋体" w:eastAsia="黑体"/>
          <w:sz w:val="24"/>
        </w:rPr>
        <w:t>（二）教学目标</w:t>
      </w:r>
    </w:p>
    <w:p>
      <w:pPr>
        <w:spacing w:line="460" w:lineRule="exact"/>
        <w:ind w:firstLine="420" w:firstLineChars="200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/>
          <w:szCs w:val="21"/>
        </w:rPr>
        <w:t>通过本课程的调研学习，让学生对家居设计领域进行初步探知，使学生能够实际感知家居</w:t>
      </w:r>
      <w:r>
        <w:rPr>
          <w:rFonts w:hint="eastAsia"/>
          <w:szCs w:val="21"/>
          <w:lang w:eastAsia="zh-CN"/>
        </w:rPr>
        <w:t>陈设</w:t>
      </w:r>
      <w:r>
        <w:rPr>
          <w:rFonts w:hint="eastAsia"/>
          <w:szCs w:val="21"/>
        </w:rPr>
        <w:t>设计的相关内容、特点和发展趋势，从而能够进行学习积累</w:t>
      </w:r>
      <w:bookmarkStart w:id="0" w:name="_GoBack"/>
      <w:bookmarkEnd w:id="0"/>
      <w:r>
        <w:rPr>
          <w:rFonts w:hint="eastAsia"/>
          <w:szCs w:val="21"/>
        </w:rPr>
        <w:t>，建立家居</w:t>
      </w:r>
      <w:r>
        <w:rPr>
          <w:rFonts w:hint="eastAsia"/>
          <w:szCs w:val="21"/>
          <w:lang w:eastAsia="zh-CN"/>
        </w:rPr>
        <w:t>陈设</w:t>
      </w:r>
      <w:r>
        <w:rPr>
          <w:rFonts w:hint="eastAsia"/>
          <w:szCs w:val="21"/>
        </w:rPr>
        <w:t>设计的思维方式且能够在今后的专业学习中逐步得到拓展,引导学生学会运用发散性思维进行设计思考，从而在专业积累的基础上具有可持续发展的潜能。</w:t>
      </w:r>
    </w:p>
    <w:p>
      <w:pPr>
        <w:spacing w:line="360" w:lineRule="exact"/>
        <w:rPr>
          <w:rFonts w:ascii="宋体" w:hAnsi="宋体"/>
          <w:b/>
          <w:szCs w:val="21"/>
        </w:rPr>
      </w:pP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黑体"/>
          <w:sz w:val="24"/>
        </w:rPr>
      </w:pPr>
      <w:r>
        <w:rPr>
          <w:rFonts w:hint="eastAsia" w:ascii="宋体" w:hAnsi="宋体" w:eastAsia="黑体"/>
          <w:sz w:val="24"/>
        </w:rPr>
        <w:t>（三）适用对象</w:t>
      </w:r>
    </w:p>
    <w:p>
      <w:pPr>
        <w:adjustRightInd w:val="0"/>
        <w:snapToGrid w:val="0"/>
        <w:spacing w:line="360" w:lineRule="auto"/>
        <w:ind w:firstLine="1050" w:firstLineChars="500"/>
        <w:rPr>
          <w:rFonts w:ascii="宋体" w:hAnsi="宋体"/>
          <w:lang w:val="zh-CN"/>
        </w:rPr>
      </w:pPr>
      <w:r>
        <w:rPr>
          <w:rFonts w:hint="eastAsia" w:ascii="宋体" w:hAnsi="宋体"/>
          <w:lang w:val="zh-CN"/>
        </w:rPr>
        <w:t>环境设计专业（</w:t>
      </w:r>
      <w:r>
        <w:rPr>
          <w:rFonts w:hint="eastAsia" w:ascii="宋体" w:hAnsi="宋体"/>
        </w:rPr>
        <w:t>家居</w:t>
      </w:r>
      <w:r>
        <w:rPr>
          <w:rFonts w:hint="eastAsia" w:ascii="宋体" w:hAnsi="宋体"/>
          <w:lang w:val="zh-CN"/>
        </w:rPr>
        <w:t>方向）</w:t>
      </w:r>
    </w:p>
    <w:p>
      <w:pPr>
        <w:adjustRightInd w:val="0"/>
        <w:snapToGrid w:val="0"/>
        <w:spacing w:line="360" w:lineRule="auto"/>
        <w:ind w:firstLine="1050" w:firstLineChars="500"/>
        <w:rPr>
          <w:rFonts w:ascii="宋体" w:hAnsi="宋体"/>
        </w:rPr>
      </w:pP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黑体"/>
          <w:sz w:val="24"/>
        </w:rPr>
      </w:pPr>
      <w:r>
        <w:rPr>
          <w:rFonts w:hint="eastAsia" w:ascii="宋体" w:hAnsi="宋体" w:eastAsia="黑体"/>
          <w:sz w:val="24"/>
        </w:rPr>
        <w:t>（四）先修课程与后续课程</w:t>
      </w:r>
    </w:p>
    <w:p>
      <w:pPr>
        <w:spacing w:line="460" w:lineRule="exact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在环境艺术设计专业当中，本课程为我校环艺专业的专业基础课程中的实践调研环节：前导课程有《构成基础》、《设计制图Ⅰ、Ⅱ》、《效果图表现技法》、《计算机辅助设计1》；后续课程有《公共空间室内设计</w:t>
      </w:r>
      <w:r>
        <w:rPr>
          <w:rFonts w:hint="eastAsia" w:ascii="宋体" w:hAnsi="宋体"/>
          <w:lang w:eastAsia="zh-CN"/>
        </w:rPr>
        <w:t>二</w:t>
      </w:r>
      <w:r>
        <w:rPr>
          <w:rFonts w:hint="eastAsia" w:ascii="宋体" w:hAnsi="宋体"/>
        </w:rPr>
        <w:t>》、《</w:t>
      </w:r>
      <w:r>
        <w:rPr>
          <w:rFonts w:hint="eastAsia" w:ascii="宋体" w:hAnsi="宋体"/>
          <w:lang w:eastAsia="zh-CN"/>
        </w:rPr>
        <w:t>家居与陈设</w:t>
      </w:r>
      <w:r>
        <w:rPr>
          <w:rFonts w:hint="eastAsia" w:ascii="宋体" w:hAnsi="宋体"/>
        </w:rPr>
        <w:t xml:space="preserve">设计》等。 </w:t>
      </w:r>
    </w:p>
    <w:p>
      <w:pPr>
        <w:adjustRightInd w:val="0"/>
        <w:snapToGrid w:val="0"/>
        <w:spacing w:line="360" w:lineRule="auto"/>
        <w:ind w:firstLine="1050" w:firstLineChars="500"/>
        <w:rPr>
          <w:rFonts w:ascii="宋体" w:hAnsi="宋体"/>
        </w:rPr>
      </w:pPr>
    </w:p>
    <w:p>
      <w:pPr>
        <w:adjustRightInd w:val="0"/>
        <w:snapToGrid w:val="0"/>
        <w:spacing w:line="360" w:lineRule="auto"/>
        <w:ind w:firstLine="562" w:firstLineChars="200"/>
        <w:rPr>
          <w:rFonts w:ascii="宋体" w:hAnsi="宋体" w:eastAsia="黑体"/>
          <w:b/>
          <w:bCs/>
          <w:sz w:val="28"/>
        </w:rPr>
      </w:pPr>
      <w:r>
        <w:rPr>
          <w:rFonts w:hint="eastAsia" w:ascii="宋体" w:hAnsi="宋体" w:eastAsia="黑体"/>
          <w:b/>
          <w:bCs/>
          <w:sz w:val="28"/>
        </w:rPr>
        <w:t>二、任课教师教学过程中应注意的事项</w:t>
      </w:r>
    </w:p>
    <w:p>
      <w:pPr>
        <w:adjustRightInd w:val="0"/>
        <w:snapToGrid w:val="0"/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1、强调对学生认知能力及设计思维的培养</w:t>
      </w:r>
    </w:p>
    <w:p>
      <w:pPr>
        <w:adjustRightInd w:val="0"/>
        <w:snapToGrid w:val="0"/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2、注重项目调研与理论解剖的结合</w:t>
      </w:r>
    </w:p>
    <w:p>
      <w:pPr>
        <w:adjustRightInd w:val="0"/>
        <w:snapToGrid w:val="0"/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3、通过实地调研中的每个细节去引导学生，关注设计方法与过程研究</w:t>
      </w:r>
    </w:p>
    <w:p>
      <w:pPr>
        <w:adjustRightInd w:val="0"/>
        <w:snapToGrid w:val="0"/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4、强调学生的综合表达能力与案例解读能力</w:t>
      </w:r>
    </w:p>
    <w:p>
      <w:pPr>
        <w:adjustRightInd w:val="0"/>
        <w:snapToGrid w:val="0"/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5、以丰富的教学形式促进学生自主学习能力的提升</w:t>
      </w:r>
    </w:p>
    <w:p>
      <w:pPr>
        <w:adjustRightInd w:val="0"/>
        <w:snapToGrid w:val="0"/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6、充分利用多媒体技术及网络教学资源</w:t>
      </w:r>
    </w:p>
    <w:p>
      <w:pPr>
        <w:adjustRightInd w:val="0"/>
        <w:snapToGrid w:val="0"/>
        <w:spacing w:line="360" w:lineRule="auto"/>
        <w:ind w:firstLine="1405" w:firstLineChars="500"/>
        <w:rPr>
          <w:rFonts w:ascii="宋体" w:hAnsi="宋体" w:eastAsia="黑体"/>
          <w:b/>
          <w:bCs/>
          <w:sz w:val="28"/>
        </w:rPr>
      </w:pPr>
    </w:p>
    <w:p>
      <w:pPr>
        <w:adjustRightInd w:val="0"/>
        <w:snapToGrid w:val="0"/>
        <w:spacing w:line="360" w:lineRule="auto"/>
        <w:ind w:firstLine="562" w:firstLineChars="200"/>
        <w:rPr>
          <w:rFonts w:ascii="黑体" w:hAnsi="宋体" w:eastAsia="黑体"/>
          <w:b/>
          <w:bCs/>
          <w:sz w:val="28"/>
        </w:rPr>
      </w:pPr>
      <w:r>
        <w:rPr>
          <w:rFonts w:hint="eastAsia" w:ascii="宋体" w:hAnsi="宋体" w:eastAsia="黑体"/>
          <w:b/>
          <w:bCs/>
          <w:sz w:val="28"/>
        </w:rPr>
        <w:t>三、学时要求与分配</w:t>
      </w:r>
      <w:r>
        <w:rPr>
          <w:rFonts w:hint="eastAsia" w:ascii="黑体" w:hAnsi="宋体" w:eastAsia="黑体"/>
          <w:b/>
          <w:bCs/>
          <w:sz w:val="28"/>
        </w:rPr>
        <w:t>：</w:t>
      </w:r>
    </w:p>
    <w:p>
      <w:pPr>
        <w:adjustRightInd w:val="0"/>
        <w:snapToGrid w:val="0"/>
        <w:spacing w:line="360" w:lineRule="auto"/>
        <w:ind w:left="483" w:leftChars="230"/>
        <w:rPr>
          <w:rFonts w:ascii="宋体" w:hAnsi="宋体" w:eastAsia="黑体"/>
          <w:sz w:val="24"/>
        </w:rPr>
      </w:pPr>
      <w:r>
        <w:rPr>
          <w:rFonts w:hint="eastAsia" w:ascii="黑体" w:hAnsi="宋体" w:eastAsia="黑体"/>
          <w:bCs/>
          <w:sz w:val="24"/>
        </w:rPr>
        <w:t>（一）</w:t>
      </w:r>
      <w:r>
        <w:rPr>
          <w:rFonts w:hint="eastAsia" w:ascii="宋体" w:hAnsi="宋体" w:eastAsia="黑体"/>
          <w:sz w:val="24"/>
        </w:rPr>
        <w:t>总学时要求</w:t>
      </w:r>
    </w:p>
    <w:p>
      <w:pPr>
        <w:adjustRightInd w:val="0"/>
        <w:snapToGrid w:val="0"/>
        <w:spacing w:line="360" w:lineRule="auto"/>
        <w:ind w:firstLine="1050" w:firstLineChars="500"/>
        <w:rPr>
          <w:rFonts w:ascii="宋体" w:hAnsi="宋体"/>
        </w:rPr>
      </w:pPr>
      <w:r>
        <w:rPr>
          <w:rFonts w:hint="eastAsia" w:ascii="宋体" w:hAnsi="宋体"/>
        </w:rPr>
        <w:t>本课程总学时计3</w:t>
      </w:r>
      <w:r>
        <w:rPr>
          <w:rFonts w:ascii="宋体" w:hAnsi="宋体"/>
        </w:rPr>
        <w:t>0</w:t>
      </w:r>
      <w:r>
        <w:rPr>
          <w:rFonts w:hint="eastAsia" w:ascii="宋体" w:hAnsi="宋体"/>
        </w:rPr>
        <w:t>学时。</w:t>
      </w:r>
    </w:p>
    <w:p>
      <w:pPr>
        <w:adjustRightInd w:val="0"/>
        <w:snapToGrid w:val="0"/>
        <w:spacing w:line="360" w:lineRule="auto"/>
        <w:ind w:firstLine="1050" w:firstLineChars="500"/>
        <w:rPr>
          <w:rFonts w:ascii="宋体" w:hAnsi="宋体"/>
        </w:rPr>
      </w:pPr>
    </w:p>
    <w:p>
      <w:pPr>
        <w:adjustRightInd w:val="0"/>
        <w:snapToGrid w:val="0"/>
        <w:spacing w:line="360" w:lineRule="auto"/>
        <w:ind w:left="482"/>
        <w:rPr>
          <w:rFonts w:ascii="宋体" w:hAnsi="宋体" w:eastAsia="黑体"/>
          <w:sz w:val="24"/>
        </w:rPr>
      </w:pPr>
      <w:r>
        <w:rPr>
          <w:rFonts w:hint="eastAsia" w:ascii="宋体" w:hAnsi="宋体" w:eastAsia="黑体"/>
          <w:sz w:val="24"/>
        </w:rPr>
        <w:t>（二）学时分配</w:t>
      </w:r>
    </w:p>
    <w:tbl>
      <w:tblPr>
        <w:tblStyle w:val="14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20"/>
        <w:gridCol w:w="4500"/>
        <w:gridCol w:w="768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周别</w:t>
            </w:r>
          </w:p>
        </w:tc>
        <w:tc>
          <w:tcPr>
            <w:tcW w:w="720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授课次数</w:t>
            </w:r>
          </w:p>
        </w:tc>
        <w:tc>
          <w:tcPr>
            <w:tcW w:w="4500" w:type="dxa"/>
            <w:vAlign w:val="center"/>
          </w:tcPr>
          <w:p>
            <w:pPr>
              <w:ind w:firstLine="548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    授课章节与内容摘要</w:t>
            </w:r>
          </w:p>
        </w:tc>
        <w:tc>
          <w:tcPr>
            <w:tcW w:w="768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教学时数</w:t>
            </w:r>
          </w:p>
        </w:tc>
        <w:tc>
          <w:tcPr>
            <w:tcW w:w="1704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 xml:space="preserve">    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828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72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4500" w:type="dxa"/>
            <w:vAlign w:val="center"/>
          </w:tcPr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家居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陈设</w:t>
            </w:r>
            <w:r>
              <w:rPr>
                <w:rFonts w:hint="eastAsia" w:ascii="宋体" w:hAnsi="宋体"/>
                <w:color w:val="000000"/>
                <w:szCs w:val="21"/>
              </w:rPr>
              <w:t>设计调研（一）</w:t>
            </w:r>
          </w:p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-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陈设软装</w:t>
            </w:r>
            <w:r>
              <w:rPr>
                <w:rFonts w:hint="eastAsia" w:ascii="宋体" w:hAnsi="宋体"/>
                <w:color w:val="000000"/>
                <w:szCs w:val="21"/>
              </w:rPr>
              <w:t>产品的类型</w:t>
            </w:r>
          </w:p>
        </w:tc>
        <w:tc>
          <w:tcPr>
            <w:tcW w:w="768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1704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828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72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4500" w:type="dxa"/>
            <w:vAlign w:val="center"/>
          </w:tcPr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家居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陈设</w:t>
            </w:r>
            <w:r>
              <w:rPr>
                <w:rFonts w:hint="eastAsia" w:ascii="宋体" w:hAnsi="宋体"/>
                <w:color w:val="000000"/>
                <w:szCs w:val="21"/>
              </w:rPr>
              <w:t>产品设计调研（二）</w:t>
            </w:r>
          </w:p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-家具的调研</w:t>
            </w:r>
          </w:p>
          <w:p>
            <w:pPr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-装饰品</w:t>
            </w:r>
          </w:p>
          <w:p>
            <w:pPr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-布艺</w:t>
            </w:r>
          </w:p>
          <w:p>
            <w:pPr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-绿植</w:t>
            </w:r>
          </w:p>
          <w:p>
            <w:pPr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-灯饰</w:t>
            </w:r>
          </w:p>
        </w:tc>
        <w:tc>
          <w:tcPr>
            <w:tcW w:w="768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1704" w:type="dxa"/>
          </w:tcPr>
          <w:p>
            <w:pPr>
              <w:rPr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阶段性调研报告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828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72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4500" w:type="dxa"/>
            <w:vAlign w:val="center"/>
          </w:tcPr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家居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样板间</w:t>
            </w:r>
            <w:r>
              <w:rPr>
                <w:rFonts w:hint="eastAsia" w:ascii="宋体" w:hAnsi="宋体"/>
                <w:color w:val="000000"/>
                <w:szCs w:val="21"/>
              </w:rPr>
              <w:t>设计调研（三）</w:t>
            </w:r>
          </w:p>
        </w:tc>
        <w:tc>
          <w:tcPr>
            <w:tcW w:w="768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1704" w:type="dxa"/>
          </w:tcPr>
          <w:p>
            <w:pPr>
              <w:jc w:val="center"/>
              <w:rPr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828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72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4500" w:type="dxa"/>
            <w:vAlign w:val="center"/>
          </w:tcPr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软装公司</w:t>
            </w:r>
            <w:r>
              <w:rPr>
                <w:rFonts w:hint="eastAsia" w:ascii="宋体" w:hAnsi="宋体"/>
                <w:color w:val="000000"/>
                <w:szCs w:val="21"/>
              </w:rPr>
              <w:t>设计调研（四）</w:t>
            </w:r>
          </w:p>
        </w:tc>
        <w:tc>
          <w:tcPr>
            <w:tcW w:w="768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704" w:type="dxa"/>
          </w:tcPr>
          <w:p>
            <w:pPr>
              <w:rPr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总结性调研报告</w:t>
            </w:r>
          </w:p>
        </w:tc>
      </w:tr>
    </w:tbl>
    <w:p>
      <w:pPr>
        <w:adjustRightInd w:val="0"/>
        <w:snapToGrid w:val="0"/>
        <w:spacing w:line="360" w:lineRule="auto"/>
        <w:rPr>
          <w:rFonts w:ascii="黑体" w:hAnsi="宋体" w:eastAsia="黑体"/>
          <w:b/>
        </w:rPr>
      </w:pPr>
    </w:p>
    <w:p>
      <w:pPr>
        <w:adjustRightInd w:val="0"/>
        <w:snapToGrid w:val="0"/>
        <w:spacing w:line="360" w:lineRule="auto"/>
        <w:ind w:firstLine="275" w:firstLineChars="98"/>
        <w:rPr>
          <w:rFonts w:eastAsia="黑体"/>
          <w:b/>
          <w:bCs/>
          <w:sz w:val="28"/>
        </w:rPr>
      </w:pPr>
      <w:r>
        <w:rPr>
          <w:rFonts w:hint="eastAsia" w:ascii="宋体" w:hAnsi="宋体" w:eastAsia="黑体"/>
          <w:b/>
          <w:bCs/>
          <w:sz w:val="28"/>
        </w:rPr>
        <w:t>四、</w:t>
      </w:r>
      <w:r>
        <w:rPr>
          <w:rFonts w:hint="eastAsia" w:eastAsia="黑体"/>
          <w:b/>
          <w:bCs/>
          <w:sz w:val="28"/>
        </w:rPr>
        <w:t>实践教学内容与要求</w:t>
      </w:r>
    </w:p>
    <w:p>
      <w:pPr>
        <w:ind w:firstLine="420" w:firstLineChars="200"/>
        <w:jc w:val="left"/>
      </w:pPr>
      <w:r>
        <w:rPr>
          <w:rFonts w:hint="eastAsia"/>
        </w:rPr>
        <w:t>本课程在教学中采用了案例式、情境式等方法引导学生主动进入设计状态，激励学生不断要求进步，并且让学生组成设计团队进行练习，使资源优化整合并增强学生的团队合作意识。</w:t>
      </w:r>
    </w:p>
    <w:p>
      <w:pPr>
        <w:pStyle w:val="22"/>
        <w:numPr>
          <w:ilvl w:val="0"/>
          <w:numId w:val="2"/>
        </w:numPr>
        <w:ind w:firstLineChars="0"/>
        <w:jc w:val="left"/>
      </w:pPr>
      <w:r>
        <w:rPr>
          <w:rFonts w:hint="eastAsia"/>
        </w:rPr>
        <w:t>前往南京本地各大家居商场、馆等家居产品设计较为领先的地点进行实地调研，帮助学生了解当下的建筑特点。</w:t>
      </w:r>
    </w:p>
    <w:p>
      <w:pPr>
        <w:pStyle w:val="22"/>
        <w:numPr>
          <w:ilvl w:val="0"/>
          <w:numId w:val="2"/>
        </w:numPr>
        <w:ind w:firstLineChars="0"/>
        <w:jc w:val="left"/>
      </w:pPr>
      <w:r>
        <w:rPr>
          <w:rFonts w:hint="eastAsia"/>
        </w:rPr>
        <w:t>借助校企合作工作室平台，帮助学生了解市场需求；</w:t>
      </w:r>
    </w:p>
    <w:p>
      <w:pPr>
        <w:ind w:firstLine="420" w:firstLineChars="200"/>
        <w:jc w:val="left"/>
      </w:pPr>
      <w:r>
        <w:rPr>
          <w:rFonts w:hint="eastAsia"/>
        </w:rPr>
        <w:t>2、进一步加强学生对资料、案例收集整理并分析中外优秀设计案例，丰富学生的专业</w:t>
      </w:r>
    </w:p>
    <w:p>
      <w:pPr>
        <w:ind w:firstLine="420" w:firstLineChars="200"/>
        <w:jc w:val="left"/>
      </w:pPr>
      <w:r>
        <w:rPr>
          <w:rFonts w:hint="eastAsia"/>
        </w:rPr>
        <w:t xml:space="preserve">    信息；</w:t>
      </w:r>
    </w:p>
    <w:p>
      <w:pPr>
        <w:ind w:firstLine="420" w:firstLineChars="200"/>
        <w:jc w:val="left"/>
      </w:pPr>
      <w:r>
        <w:rPr>
          <w:rFonts w:hint="eastAsia"/>
        </w:rPr>
        <w:t>3、仍需注重培养学生的多元化思维和表现能力；</w:t>
      </w:r>
    </w:p>
    <w:p>
      <w:pPr>
        <w:ind w:firstLine="420" w:firstLineChars="200"/>
        <w:jc w:val="left"/>
      </w:pPr>
      <w:r>
        <w:rPr>
          <w:rFonts w:hint="eastAsia"/>
        </w:rPr>
        <w:t>4、进一步调整扩充资源，利用教学云平台，丰富教学手段，培养学生的自主学习能力。</w:t>
      </w:r>
    </w:p>
    <w:p>
      <w:pPr>
        <w:ind w:firstLine="420" w:firstLineChars="200"/>
        <w:jc w:val="left"/>
      </w:pP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562" w:firstLineChars="200"/>
        <w:rPr>
          <w:rFonts w:ascii="宋体" w:hAnsi="宋体" w:eastAsia="黑体"/>
          <w:b/>
          <w:bCs/>
          <w:sz w:val="28"/>
        </w:rPr>
      </w:pPr>
      <w:r>
        <w:rPr>
          <w:rFonts w:hint="eastAsia" w:ascii="宋体" w:hAnsi="宋体" w:eastAsia="黑体"/>
          <w:b/>
          <w:bCs/>
          <w:sz w:val="28"/>
        </w:rPr>
        <w:t>教学</w:t>
      </w:r>
      <w:r>
        <w:rPr>
          <w:rFonts w:ascii="宋体" w:hAnsi="宋体" w:eastAsia="黑体"/>
          <w:b/>
          <w:bCs/>
          <w:sz w:val="28"/>
        </w:rPr>
        <w:t>参考</w:t>
      </w:r>
      <w:r>
        <w:rPr>
          <w:rFonts w:hint="eastAsia" w:ascii="宋体" w:hAnsi="宋体" w:eastAsia="黑体"/>
          <w:b/>
          <w:bCs/>
          <w:sz w:val="28"/>
        </w:rPr>
        <w:t>资料</w:t>
      </w:r>
    </w:p>
    <w:p>
      <w:pPr>
        <w:rPr>
          <w:kern w:val="0"/>
          <w:szCs w:val="21"/>
        </w:rPr>
      </w:pPr>
      <w:r>
        <w:rPr>
          <w:rFonts w:hint="eastAsia"/>
          <w:kern w:val="0"/>
          <w:szCs w:val="21"/>
        </w:rPr>
        <w:t xml:space="preserve">      （1）《室内与家具设计:家具设计》第二版  吴智慧 中国林业出版社   </w:t>
      </w:r>
      <w:r>
        <w:rPr>
          <w:kern w:val="0"/>
          <w:szCs w:val="21"/>
        </w:rPr>
        <w:t>2012</w:t>
      </w:r>
      <w:r>
        <w:rPr>
          <w:rFonts w:hint="eastAsia"/>
          <w:kern w:val="0"/>
          <w:szCs w:val="21"/>
        </w:rPr>
        <w:t>年</w:t>
      </w:r>
      <w:r>
        <w:rPr>
          <w:kern w:val="0"/>
          <w:szCs w:val="21"/>
        </w:rPr>
        <w:t>9</w:t>
      </w:r>
      <w:r>
        <w:rPr>
          <w:rFonts w:hint="eastAsia"/>
          <w:kern w:val="0"/>
          <w:szCs w:val="21"/>
        </w:rPr>
        <w:t>月</w:t>
      </w:r>
    </w:p>
    <w:p>
      <w:pPr>
        <w:tabs>
          <w:tab w:val="left" w:pos="3234"/>
        </w:tabs>
        <w:rPr>
          <w:kern w:val="0"/>
          <w:szCs w:val="21"/>
        </w:rPr>
      </w:pPr>
      <w:r>
        <w:rPr>
          <w:rFonts w:hint="eastAsia"/>
          <w:kern w:val="0"/>
          <w:szCs w:val="21"/>
        </w:rPr>
        <w:t xml:space="preserve">      （2）《家居产品设计》第一版</w:t>
      </w:r>
      <w:r>
        <w:rPr>
          <w:kern w:val="0"/>
          <w:szCs w:val="21"/>
        </w:rPr>
        <w:t xml:space="preserve"> </w:t>
      </w:r>
      <w:r>
        <w:rPr>
          <w:rFonts w:hint="eastAsia"/>
          <w:kern w:val="0"/>
          <w:szCs w:val="21"/>
        </w:rPr>
        <w:t xml:space="preserve"> 段胜峰  西南师范大学出版社  </w:t>
      </w:r>
      <w:r>
        <w:rPr>
          <w:kern w:val="0"/>
          <w:szCs w:val="21"/>
        </w:rPr>
        <w:t>2008</w:t>
      </w:r>
      <w:r>
        <w:rPr>
          <w:rFonts w:hint="eastAsia"/>
          <w:kern w:val="0"/>
          <w:szCs w:val="21"/>
        </w:rPr>
        <w:t>年</w:t>
      </w:r>
      <w:r>
        <w:rPr>
          <w:kern w:val="0"/>
          <w:szCs w:val="21"/>
        </w:rPr>
        <w:t>9</w:t>
      </w:r>
      <w:r>
        <w:rPr>
          <w:rFonts w:hint="eastAsia"/>
          <w:kern w:val="0"/>
          <w:szCs w:val="21"/>
        </w:rPr>
        <w:t>月</w:t>
      </w:r>
    </w:p>
    <w:p>
      <w:pPr>
        <w:tabs>
          <w:tab w:val="left" w:pos="2625"/>
        </w:tabs>
        <w:rPr>
          <w:kern w:val="0"/>
          <w:szCs w:val="21"/>
        </w:rPr>
      </w:pPr>
      <w:r>
        <w:rPr>
          <w:rFonts w:hint="eastAsia"/>
          <w:kern w:val="0"/>
          <w:szCs w:val="21"/>
        </w:rPr>
        <w:t xml:space="preserve">      （3）《家具设计》 第一版</w:t>
      </w:r>
      <w:r>
        <w:rPr>
          <w:kern w:val="0"/>
          <w:szCs w:val="21"/>
        </w:rPr>
        <w:tab/>
      </w:r>
      <w:r>
        <w:rPr>
          <w:rFonts w:hint="eastAsia"/>
          <w:kern w:val="0"/>
          <w:szCs w:val="21"/>
        </w:rPr>
        <w:t xml:space="preserve">   张克非  辽宁美术出版社   2016年9月</w:t>
      </w:r>
    </w:p>
    <w:p>
      <w:pPr>
        <w:tabs>
          <w:tab w:val="left" w:pos="2625"/>
        </w:tabs>
        <w:rPr>
          <w:kern w:val="0"/>
          <w:szCs w:val="21"/>
        </w:rPr>
      </w:pPr>
      <w:r>
        <w:rPr>
          <w:rFonts w:hint="eastAsia"/>
          <w:kern w:val="0"/>
          <w:szCs w:val="21"/>
        </w:rPr>
        <w:t xml:space="preserve">      （4）《产品设计》 第二版     高亚丽  辽宁美术出版社   2016年9月</w:t>
      </w:r>
    </w:p>
    <w:p/>
    <w:p>
      <w:pPr>
        <w:adjustRightInd w:val="0"/>
        <w:snapToGrid w:val="0"/>
        <w:spacing w:line="360" w:lineRule="auto"/>
        <w:ind w:firstLine="562" w:firstLineChars="200"/>
        <w:rPr>
          <w:rFonts w:ascii="宋体" w:hAnsi="宋体" w:eastAsia="黑体"/>
          <w:b/>
          <w:bCs/>
          <w:sz w:val="28"/>
        </w:rPr>
      </w:pPr>
      <w:r>
        <w:rPr>
          <w:rFonts w:hint="eastAsia" w:ascii="黑体" w:hAnsi="宋体" w:eastAsia="黑体"/>
          <w:b/>
          <w:bCs/>
          <w:sz w:val="28"/>
        </w:rPr>
        <w:t>六、</w:t>
      </w:r>
      <w:r>
        <w:rPr>
          <w:rFonts w:hint="eastAsia" w:ascii="宋体" w:hAnsi="宋体" w:eastAsia="黑体"/>
          <w:b/>
          <w:bCs/>
          <w:sz w:val="28"/>
        </w:rPr>
        <w:t>课程的考核要求</w:t>
      </w:r>
    </w:p>
    <w:p>
      <w:pPr>
        <w:adjustRightInd w:val="0"/>
        <w:snapToGrid w:val="0"/>
        <w:spacing w:line="360" w:lineRule="auto"/>
        <w:jc w:val="left"/>
        <w:rPr>
          <w:rFonts w:ascii="宋体" w:hAnsi="宋体"/>
        </w:rPr>
      </w:pPr>
      <w:r>
        <w:rPr>
          <w:rFonts w:hint="eastAsia" w:ascii="宋体" w:hAnsi="宋体"/>
        </w:rPr>
        <w:t xml:space="preserve">     根据本课程的特点，采取过程考核、阶段考核和调研报告总评考核相结合的方式考核学生能力，注重调研过程的认真、详细、丰富和平时表现，参考学生互评情况综合评定学习效果。</w:t>
      </w:r>
    </w:p>
    <w:p>
      <w:pPr>
        <w:widowControl/>
        <w:spacing w:line="480" w:lineRule="exact"/>
        <w:ind w:firstLine="420" w:firstLineChars="200"/>
        <w:jc w:val="left"/>
        <w:rPr>
          <w:rStyle w:val="21"/>
          <w:szCs w:val="21"/>
        </w:rPr>
      </w:pPr>
      <w:r>
        <w:rPr>
          <w:kern w:val="0"/>
          <w:szCs w:val="21"/>
        </w:rPr>
        <w:t>1、</w:t>
      </w:r>
      <w:r>
        <w:rPr>
          <w:rStyle w:val="21"/>
          <w:szCs w:val="21"/>
        </w:rPr>
        <w:t>学习过程考核</w:t>
      </w:r>
      <w:r>
        <w:rPr>
          <w:rStyle w:val="21"/>
          <w:rFonts w:hint="eastAsia"/>
          <w:szCs w:val="21"/>
        </w:rPr>
        <w:t>：占总分</w:t>
      </w:r>
      <w:r>
        <w:rPr>
          <w:rStyle w:val="21"/>
          <w:rFonts w:hint="eastAsia"/>
          <w:szCs w:val="21"/>
          <w:lang w:val="en-US" w:eastAsia="zh-CN"/>
        </w:rPr>
        <w:t>4</w:t>
      </w:r>
      <w:r>
        <w:rPr>
          <w:rStyle w:val="21"/>
          <w:rFonts w:hint="eastAsia"/>
          <w:szCs w:val="21"/>
        </w:rPr>
        <w:t>0</w:t>
      </w:r>
      <w:r>
        <w:rPr>
          <w:rStyle w:val="21"/>
          <w:szCs w:val="21"/>
        </w:rPr>
        <w:t>%</w:t>
      </w:r>
      <w:r>
        <w:rPr>
          <w:rStyle w:val="21"/>
          <w:rFonts w:hint="eastAsia"/>
          <w:szCs w:val="21"/>
        </w:rPr>
        <w:t>，出勤占10%，调研过程的认真程度10%，与老师沟通次数达标占10%；</w:t>
      </w:r>
    </w:p>
    <w:p>
      <w:pPr>
        <w:widowControl/>
        <w:spacing w:line="480" w:lineRule="exact"/>
        <w:ind w:firstLine="420" w:firstLineChars="200"/>
        <w:jc w:val="left"/>
        <w:rPr>
          <w:kern w:val="0"/>
          <w:szCs w:val="21"/>
        </w:rPr>
      </w:pPr>
      <w:r>
        <w:rPr>
          <w:rStyle w:val="21"/>
          <w:szCs w:val="21"/>
        </w:rPr>
        <w:t>2、</w:t>
      </w:r>
      <w:r>
        <w:rPr>
          <w:rFonts w:hint="eastAsia"/>
          <w:kern w:val="0"/>
        </w:rPr>
        <w:t>期末考核：</w:t>
      </w:r>
      <w:r>
        <w:rPr>
          <w:rStyle w:val="21"/>
          <w:rFonts w:hint="eastAsia"/>
          <w:szCs w:val="21"/>
        </w:rPr>
        <w:t>占总分</w:t>
      </w:r>
      <w:r>
        <w:rPr>
          <w:rStyle w:val="21"/>
          <w:rFonts w:hint="eastAsia"/>
          <w:szCs w:val="21"/>
          <w:lang w:val="en-US" w:eastAsia="zh-CN"/>
        </w:rPr>
        <w:t>6</w:t>
      </w:r>
      <w:r>
        <w:rPr>
          <w:rStyle w:val="21"/>
          <w:szCs w:val="21"/>
        </w:rPr>
        <w:t>0%</w:t>
      </w:r>
      <w:r>
        <w:rPr>
          <w:rStyle w:val="21"/>
          <w:rFonts w:hint="eastAsia"/>
          <w:szCs w:val="21"/>
        </w:rPr>
        <w:t>，</w:t>
      </w:r>
      <w:r>
        <w:rPr>
          <w:rFonts w:hint="eastAsia"/>
          <w:kern w:val="0"/>
        </w:rPr>
        <w:t>调研报告总体质量</w:t>
      </w:r>
      <w:r>
        <w:rPr>
          <w:kern w:val="0"/>
        </w:rPr>
        <w:t>。</w:t>
      </w:r>
    </w:p>
    <w:p>
      <w:pPr>
        <w:outlineLvl w:val="0"/>
        <w:rPr>
          <w:rFonts w:ascii="黑体" w:hAnsi="宋体" w:eastAsia="黑体"/>
          <w:bCs/>
        </w:rPr>
      </w:pPr>
    </w:p>
    <w:sectPr>
      <w:footerReference r:id="rId3" w:type="default"/>
      <w:pgSz w:w="11906" w:h="16838"/>
      <w:pgMar w:top="1440" w:right="1797" w:bottom="1276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fldChar w:fldCharType="end"/>
    </w:r>
  </w:p>
  <w:p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734858"/>
    <w:multiLevelType w:val="multilevel"/>
    <w:tmpl w:val="40734858"/>
    <w:lvl w:ilvl="0" w:tentative="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582BC20E"/>
    <w:multiLevelType w:val="singleLevel"/>
    <w:tmpl w:val="582BC20E"/>
    <w:lvl w:ilvl="0" w:tentative="0">
      <w:start w:val="5"/>
      <w:numFmt w:val="chineseCounting"/>
      <w:suff w:val="nothing"/>
      <w:lvlText w:val="%1、"/>
      <w:lvlJc w:val="left"/>
    </w:lvl>
  </w:abstractNum>
  <w:abstractNum w:abstractNumId="2">
    <w:nsid w:val="71E82D61"/>
    <w:multiLevelType w:val="multilevel"/>
    <w:tmpl w:val="71E82D61"/>
    <w:lvl w:ilvl="0" w:tentative="0">
      <w:start w:val="1"/>
      <w:numFmt w:val="chineseCountingThousand"/>
      <w:pStyle w:val="19"/>
      <w:lvlText w:val="%1、"/>
      <w:lvlJc w:val="left"/>
      <w:pPr>
        <w:tabs>
          <w:tab w:val="left" w:pos="630"/>
        </w:tabs>
        <w:ind w:left="630" w:hanging="420"/>
      </w:pPr>
      <w:rPr>
        <w:lang w:val="en-US"/>
      </w:rPr>
    </w:lvl>
    <w:lvl w:ilvl="1" w:tentative="0">
      <w:start w:val="1"/>
      <w:numFmt w:val="ideographEnclosedCircle"/>
      <w:lvlText w:val="%2、"/>
      <w:lvlJc w:val="left"/>
      <w:pPr>
        <w:tabs>
          <w:tab w:val="left" w:pos="1110"/>
        </w:tabs>
        <w:ind w:left="1110" w:hanging="48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470"/>
        </w:tabs>
        <w:ind w:left="1470" w:hanging="420"/>
      </w:pPr>
    </w:lvl>
    <w:lvl w:ilvl="3" w:tentative="0">
      <w:start w:val="1"/>
      <w:numFmt w:val="decimal"/>
      <w:lvlText w:val="%4."/>
      <w:lvlJc w:val="left"/>
      <w:pPr>
        <w:tabs>
          <w:tab w:val="left" w:pos="1890"/>
        </w:tabs>
        <w:ind w:left="189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310"/>
        </w:tabs>
        <w:ind w:left="231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730"/>
        </w:tabs>
        <w:ind w:left="2730" w:hanging="420"/>
      </w:pPr>
    </w:lvl>
    <w:lvl w:ilvl="6" w:tentative="0">
      <w:start w:val="1"/>
      <w:numFmt w:val="decimal"/>
      <w:lvlText w:val="%7."/>
      <w:lvlJc w:val="left"/>
      <w:pPr>
        <w:tabs>
          <w:tab w:val="left" w:pos="3150"/>
        </w:tabs>
        <w:ind w:left="315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570"/>
        </w:tabs>
        <w:ind w:left="357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990"/>
        </w:tabs>
        <w:ind w:left="399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DED"/>
    <w:rsid w:val="000063AA"/>
    <w:rsid w:val="0001610A"/>
    <w:rsid w:val="00017760"/>
    <w:rsid w:val="00017F53"/>
    <w:rsid w:val="00025132"/>
    <w:rsid w:val="00040A81"/>
    <w:rsid w:val="0005720D"/>
    <w:rsid w:val="00090472"/>
    <w:rsid w:val="000A2E77"/>
    <w:rsid w:val="000C5426"/>
    <w:rsid w:val="000F38AD"/>
    <w:rsid w:val="00101D3C"/>
    <w:rsid w:val="0010267C"/>
    <w:rsid w:val="00107A3A"/>
    <w:rsid w:val="001107EE"/>
    <w:rsid w:val="0011399A"/>
    <w:rsid w:val="00121F89"/>
    <w:rsid w:val="001221C1"/>
    <w:rsid w:val="0014357D"/>
    <w:rsid w:val="001437FC"/>
    <w:rsid w:val="001575D1"/>
    <w:rsid w:val="001764AC"/>
    <w:rsid w:val="001865B8"/>
    <w:rsid w:val="001C310A"/>
    <w:rsid w:val="001E7AAF"/>
    <w:rsid w:val="00250B6C"/>
    <w:rsid w:val="00256CCD"/>
    <w:rsid w:val="00261138"/>
    <w:rsid w:val="00273ECB"/>
    <w:rsid w:val="002829FF"/>
    <w:rsid w:val="00291E14"/>
    <w:rsid w:val="002975B4"/>
    <w:rsid w:val="002A62CE"/>
    <w:rsid w:val="002A67EA"/>
    <w:rsid w:val="002A7D1F"/>
    <w:rsid w:val="002B331E"/>
    <w:rsid w:val="002B4E6B"/>
    <w:rsid w:val="002F6834"/>
    <w:rsid w:val="002F7DEE"/>
    <w:rsid w:val="0034551F"/>
    <w:rsid w:val="00346458"/>
    <w:rsid w:val="003471D7"/>
    <w:rsid w:val="00352380"/>
    <w:rsid w:val="00356313"/>
    <w:rsid w:val="0036098A"/>
    <w:rsid w:val="00377104"/>
    <w:rsid w:val="00387E56"/>
    <w:rsid w:val="0039166D"/>
    <w:rsid w:val="003D2109"/>
    <w:rsid w:val="003E191F"/>
    <w:rsid w:val="003F2012"/>
    <w:rsid w:val="003F5AF7"/>
    <w:rsid w:val="00407041"/>
    <w:rsid w:val="004102D8"/>
    <w:rsid w:val="00412AE6"/>
    <w:rsid w:val="00412AF9"/>
    <w:rsid w:val="00417DCD"/>
    <w:rsid w:val="0044297F"/>
    <w:rsid w:val="004450FB"/>
    <w:rsid w:val="00451774"/>
    <w:rsid w:val="00463C4B"/>
    <w:rsid w:val="004B4B1A"/>
    <w:rsid w:val="004C5232"/>
    <w:rsid w:val="004E5D71"/>
    <w:rsid w:val="004F0B86"/>
    <w:rsid w:val="00500628"/>
    <w:rsid w:val="00511072"/>
    <w:rsid w:val="00511B34"/>
    <w:rsid w:val="00513527"/>
    <w:rsid w:val="005146E4"/>
    <w:rsid w:val="005233E6"/>
    <w:rsid w:val="00525B02"/>
    <w:rsid w:val="005633E2"/>
    <w:rsid w:val="005712B7"/>
    <w:rsid w:val="0059179A"/>
    <w:rsid w:val="005A4174"/>
    <w:rsid w:val="005B714B"/>
    <w:rsid w:val="005C2DDB"/>
    <w:rsid w:val="005E028E"/>
    <w:rsid w:val="005E065F"/>
    <w:rsid w:val="005E36AA"/>
    <w:rsid w:val="00605BF0"/>
    <w:rsid w:val="00606417"/>
    <w:rsid w:val="00622E03"/>
    <w:rsid w:val="00642381"/>
    <w:rsid w:val="00674018"/>
    <w:rsid w:val="00680407"/>
    <w:rsid w:val="00687D4D"/>
    <w:rsid w:val="006A7DED"/>
    <w:rsid w:val="00703538"/>
    <w:rsid w:val="00710EFA"/>
    <w:rsid w:val="00711F80"/>
    <w:rsid w:val="00721F15"/>
    <w:rsid w:val="00727EDC"/>
    <w:rsid w:val="007334A5"/>
    <w:rsid w:val="00746CFD"/>
    <w:rsid w:val="00752AA3"/>
    <w:rsid w:val="00763171"/>
    <w:rsid w:val="0077785D"/>
    <w:rsid w:val="007835CF"/>
    <w:rsid w:val="007D068D"/>
    <w:rsid w:val="007D0DDD"/>
    <w:rsid w:val="007E1B8E"/>
    <w:rsid w:val="00811DD0"/>
    <w:rsid w:val="008326A3"/>
    <w:rsid w:val="00843EE1"/>
    <w:rsid w:val="00853396"/>
    <w:rsid w:val="0086070A"/>
    <w:rsid w:val="00866B03"/>
    <w:rsid w:val="0089531B"/>
    <w:rsid w:val="008B6DDA"/>
    <w:rsid w:val="008B7885"/>
    <w:rsid w:val="008C1A26"/>
    <w:rsid w:val="008C6C06"/>
    <w:rsid w:val="008E0F93"/>
    <w:rsid w:val="008F33C6"/>
    <w:rsid w:val="009234E6"/>
    <w:rsid w:val="00987926"/>
    <w:rsid w:val="009A4D99"/>
    <w:rsid w:val="009D0DD6"/>
    <w:rsid w:val="009F3A2F"/>
    <w:rsid w:val="00A007D0"/>
    <w:rsid w:val="00A11C2F"/>
    <w:rsid w:val="00A24CD6"/>
    <w:rsid w:val="00A32AE8"/>
    <w:rsid w:val="00A33273"/>
    <w:rsid w:val="00A4316A"/>
    <w:rsid w:val="00A51A88"/>
    <w:rsid w:val="00A952BC"/>
    <w:rsid w:val="00AB7A88"/>
    <w:rsid w:val="00AC0D66"/>
    <w:rsid w:val="00AC5451"/>
    <w:rsid w:val="00AC7778"/>
    <w:rsid w:val="00AD781F"/>
    <w:rsid w:val="00B21C22"/>
    <w:rsid w:val="00B3505B"/>
    <w:rsid w:val="00B44CAA"/>
    <w:rsid w:val="00B47BEB"/>
    <w:rsid w:val="00B5088C"/>
    <w:rsid w:val="00B6382A"/>
    <w:rsid w:val="00B63FBB"/>
    <w:rsid w:val="00B71894"/>
    <w:rsid w:val="00B73D5C"/>
    <w:rsid w:val="00BC39B6"/>
    <w:rsid w:val="00BC3DE5"/>
    <w:rsid w:val="00BD3A23"/>
    <w:rsid w:val="00BD6E81"/>
    <w:rsid w:val="00BE0E87"/>
    <w:rsid w:val="00BF3DC4"/>
    <w:rsid w:val="00C160DE"/>
    <w:rsid w:val="00C631E8"/>
    <w:rsid w:val="00C73790"/>
    <w:rsid w:val="00CA7A71"/>
    <w:rsid w:val="00CB6585"/>
    <w:rsid w:val="00CC3898"/>
    <w:rsid w:val="00CC6953"/>
    <w:rsid w:val="00CD41AF"/>
    <w:rsid w:val="00D42589"/>
    <w:rsid w:val="00D4355B"/>
    <w:rsid w:val="00D45F58"/>
    <w:rsid w:val="00D66B35"/>
    <w:rsid w:val="00D84BA4"/>
    <w:rsid w:val="00DA591A"/>
    <w:rsid w:val="00DB422B"/>
    <w:rsid w:val="00E1000D"/>
    <w:rsid w:val="00E104F6"/>
    <w:rsid w:val="00E10B35"/>
    <w:rsid w:val="00E327CB"/>
    <w:rsid w:val="00E37FFB"/>
    <w:rsid w:val="00E41CA5"/>
    <w:rsid w:val="00E47C50"/>
    <w:rsid w:val="00E550CB"/>
    <w:rsid w:val="00E551E5"/>
    <w:rsid w:val="00E67665"/>
    <w:rsid w:val="00E70086"/>
    <w:rsid w:val="00E7085C"/>
    <w:rsid w:val="00E71E46"/>
    <w:rsid w:val="00E7494B"/>
    <w:rsid w:val="00E8733F"/>
    <w:rsid w:val="00EA60AF"/>
    <w:rsid w:val="00EB1027"/>
    <w:rsid w:val="00EE0F3B"/>
    <w:rsid w:val="00EE42AC"/>
    <w:rsid w:val="00F12CB7"/>
    <w:rsid w:val="00F174FA"/>
    <w:rsid w:val="00F34B93"/>
    <w:rsid w:val="00F516A3"/>
    <w:rsid w:val="00F7717B"/>
    <w:rsid w:val="00FA149A"/>
    <w:rsid w:val="00FC5B8D"/>
    <w:rsid w:val="09605999"/>
    <w:rsid w:val="0B0B3EB8"/>
    <w:rsid w:val="1265347F"/>
    <w:rsid w:val="131668D6"/>
    <w:rsid w:val="15931B28"/>
    <w:rsid w:val="166A5654"/>
    <w:rsid w:val="1A7C279D"/>
    <w:rsid w:val="1D571676"/>
    <w:rsid w:val="1FC94D99"/>
    <w:rsid w:val="29BE4998"/>
    <w:rsid w:val="2B523041"/>
    <w:rsid w:val="34B06FE9"/>
    <w:rsid w:val="3A522E46"/>
    <w:rsid w:val="3AB36D14"/>
    <w:rsid w:val="3BA40F15"/>
    <w:rsid w:val="3F214559"/>
    <w:rsid w:val="40B926FC"/>
    <w:rsid w:val="422E17B6"/>
    <w:rsid w:val="4D1C5AFF"/>
    <w:rsid w:val="4D646AF3"/>
    <w:rsid w:val="4EB40B8C"/>
    <w:rsid w:val="50642D26"/>
    <w:rsid w:val="52E6368D"/>
    <w:rsid w:val="5AEA51A6"/>
    <w:rsid w:val="66850902"/>
    <w:rsid w:val="69B03987"/>
    <w:rsid w:val="69CB1806"/>
    <w:rsid w:val="6AD82D25"/>
    <w:rsid w:val="6F4550FB"/>
    <w:rsid w:val="72847ACE"/>
    <w:rsid w:val="7BA66235"/>
    <w:rsid w:val="7E244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qFormat/>
    <w:uiPriority w:val="0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qFormat/>
    <w:uiPriority w:val="0"/>
    <w:pPr>
      <w:spacing w:before="100" w:beforeAutospacing="1" w:after="100" w:afterAutospacing="1" w:line="440" w:lineRule="exact"/>
      <w:ind w:firstLine="720" w:firstLineChars="300"/>
      <w:jc w:val="left"/>
    </w:pPr>
    <w:rPr>
      <w:sz w:val="24"/>
    </w:rPr>
  </w:style>
  <w:style w:type="paragraph" w:styleId="5">
    <w:name w:val="Date"/>
    <w:basedOn w:val="1"/>
    <w:next w:val="1"/>
    <w:qFormat/>
    <w:uiPriority w:val="0"/>
    <w:pPr>
      <w:ind w:left="100" w:leftChars="2500"/>
    </w:pPr>
    <w:rPr>
      <w:rFonts w:eastAsia="华文楷体"/>
      <w:sz w:val="28"/>
    </w:rPr>
  </w:style>
  <w:style w:type="paragraph" w:styleId="6">
    <w:name w:val="Balloon Text"/>
    <w:basedOn w:val="1"/>
    <w:semiHidden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widowControl/>
      <w:jc w:val="left"/>
    </w:pPr>
    <w:rPr>
      <w:rFonts w:ascii="Verdana" w:hAnsi="Verdana" w:cs="宋体"/>
      <w:color w:val="000000"/>
      <w:kern w:val="0"/>
      <w:sz w:val="18"/>
      <w:szCs w:val="18"/>
    </w:rPr>
  </w:style>
  <w:style w:type="character" w:styleId="11">
    <w:name w:val="Strong"/>
    <w:qFormat/>
    <w:uiPriority w:val="22"/>
    <w:rPr>
      <w:b/>
      <w:bCs/>
    </w:rPr>
  </w:style>
  <w:style w:type="character" w:styleId="12">
    <w:name w:val="page number"/>
    <w:basedOn w:val="10"/>
    <w:qFormat/>
    <w:uiPriority w:val="0"/>
  </w:style>
  <w:style w:type="character" w:styleId="13">
    <w:name w:val="Hyperlink"/>
    <w:qFormat/>
    <w:uiPriority w:val="0"/>
    <w:rPr>
      <w:color w:val="000000"/>
      <w:u w:val="none"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页脚字符"/>
    <w:link w:val="7"/>
    <w:qFormat/>
    <w:uiPriority w:val="99"/>
    <w:rPr>
      <w:kern w:val="2"/>
      <w:sz w:val="18"/>
      <w:szCs w:val="18"/>
    </w:rPr>
  </w:style>
  <w:style w:type="character" w:customStyle="1" w:styleId="17">
    <w:name w:val="yongri_newsarticles_title1"/>
    <w:qFormat/>
    <w:uiPriority w:val="0"/>
    <w:rPr>
      <w:rFonts w:ascii="Tahoma" w:hAnsi="Tahoma"/>
      <w:b/>
      <w:sz w:val="27"/>
    </w:rPr>
  </w:style>
  <w:style w:type="character" w:customStyle="1" w:styleId="18">
    <w:name w:val="neirong1"/>
    <w:qFormat/>
    <w:uiPriority w:val="0"/>
    <w:rPr>
      <w:color w:val="333333"/>
      <w:sz w:val="18"/>
      <w:szCs w:val="18"/>
    </w:rPr>
  </w:style>
  <w:style w:type="paragraph" w:customStyle="1" w:styleId="19">
    <w:name w:val="样式1"/>
    <w:basedOn w:val="1"/>
    <w:semiHidden/>
    <w:qFormat/>
    <w:uiPriority w:val="0"/>
    <w:pPr>
      <w:numPr>
        <w:ilvl w:val="0"/>
        <w:numId w:val="1"/>
      </w:numPr>
      <w:jc w:val="left"/>
    </w:pPr>
    <w:rPr>
      <w:rFonts w:eastAsia="黑体"/>
      <w:b/>
      <w:sz w:val="24"/>
    </w:rPr>
  </w:style>
  <w:style w:type="character" w:customStyle="1" w:styleId="20">
    <w:name w:val="标题 1字符"/>
    <w:basedOn w:val="10"/>
    <w:link w:val="2"/>
    <w:qFormat/>
    <w:uiPriority w:val="0"/>
    <w:rPr>
      <w:b/>
      <w:bCs/>
      <w:kern w:val="44"/>
      <w:sz w:val="44"/>
      <w:szCs w:val="44"/>
    </w:rPr>
  </w:style>
  <w:style w:type="character" w:customStyle="1" w:styleId="21">
    <w:name w:val="apple-style-span"/>
    <w:basedOn w:val="10"/>
    <w:qFormat/>
    <w:uiPriority w:val="0"/>
  </w:style>
  <w:style w:type="paragraph" w:styleId="22">
    <w:name w:val="List Paragraph"/>
    <w:basedOn w:val="1"/>
    <w:qFormat/>
    <w:uiPriority w:val="99"/>
    <w:pPr>
      <w:ind w:firstLine="420" w:firstLineChars="200"/>
    </w:pPr>
  </w:style>
  <w:style w:type="character" w:customStyle="1" w:styleId="23">
    <w:name w:val="a-size-large"/>
    <w:basedOn w:val="10"/>
    <w:qFormat/>
    <w:uiPriority w:val="0"/>
  </w:style>
  <w:style w:type="character" w:customStyle="1" w:styleId="24">
    <w:name w:val="author"/>
    <w:basedOn w:val="10"/>
    <w:qFormat/>
    <w:uiPriority w:val="0"/>
  </w:style>
  <w:style w:type="character" w:customStyle="1" w:styleId="25">
    <w:name w:val="apple-converted-space"/>
    <w:basedOn w:val="10"/>
    <w:qFormat/>
    <w:uiPriority w:val="0"/>
  </w:style>
  <w:style w:type="character" w:customStyle="1" w:styleId="26">
    <w:name w:val="a-color-secondary"/>
    <w:basedOn w:val="10"/>
    <w:qFormat/>
    <w:uiPriority w:val="0"/>
  </w:style>
  <w:style w:type="character" w:customStyle="1" w:styleId="27">
    <w:name w:val="more"/>
    <w:basedOn w:val="10"/>
    <w:qFormat/>
    <w:uiPriority w:val="0"/>
  </w:style>
  <w:style w:type="character" w:customStyle="1" w:styleId="28">
    <w:name w:val="morecount"/>
    <w:basedOn w:val="10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277</Words>
  <Characters>1584</Characters>
  <Lines>13</Lines>
  <Paragraphs>3</Paragraphs>
  <TotalTime>166</TotalTime>
  <ScaleCrop>false</ScaleCrop>
  <LinksUpToDate>false</LinksUpToDate>
  <CharactersWithSpaces>1858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2018-09-07T06:38:00Z</dcterms:created>
  <dc:creator>微软用户</dc:creator>
  <cp:lastModifiedBy>城市负翁</cp:lastModifiedBy>
  <cp:lastPrinted>2016-03-29T07:16:00Z</cp:lastPrinted>
  <dcterms:modified xsi:type="dcterms:W3CDTF">2019-10-10T08:41:06Z</dcterms:modified>
  <dc:title>应教字 [2008] 14号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KSORubyTemplateID" linkTarget="0">
    <vt:lpwstr>6</vt:lpwstr>
  </property>
</Properties>
</file>