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jc w:val="center"/>
        <w:rPr>
          <w:rFonts w:ascii="黑体" w:eastAsia="黑体"/>
          <w:b/>
          <w:bCs/>
          <w:sz w:val="52"/>
        </w:rPr>
      </w:pPr>
      <w:r>
        <w:rPr>
          <w:rFonts w:hint="eastAsia" w:ascii="黑体" w:eastAsia="黑体"/>
          <w:b/>
          <w:bCs/>
          <w:sz w:val="52"/>
        </w:rPr>
        <w:t>《设计与生活方式》教学大纲</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r>
        <w:rPr>
          <w:rFonts w:hint="eastAsia" w:ascii="黑体" w:eastAsia="黑体"/>
          <w:b/>
          <w:bCs/>
          <w:sz w:val="52"/>
        </w:rPr>
        <w:t>（</w:t>
      </w:r>
      <w:r>
        <w:rPr>
          <w:rFonts w:ascii="黑体" w:eastAsia="黑体"/>
          <w:b/>
          <w:bCs/>
          <w:sz w:val="48"/>
          <w:szCs w:val="48"/>
        </w:rPr>
        <w:t>Design and Lifestyle</w:t>
      </w:r>
      <w:r>
        <w:rPr>
          <w:rFonts w:hint="eastAsia" w:ascii="黑体" w:eastAsia="黑体"/>
          <w:b/>
          <w:bCs/>
          <w:sz w:val="52"/>
        </w:rPr>
        <w:t>）</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sz w:val="30"/>
        </w:rPr>
        <w:t>艺术设计学院</w:t>
      </w:r>
    </w:p>
    <w:p>
      <w:pPr>
        <w:adjustRightInd w:val="0"/>
        <w:snapToGrid w:val="0"/>
        <w:spacing w:line="360" w:lineRule="auto"/>
        <w:ind w:firstLine="2700" w:firstLineChars="900"/>
        <w:rPr>
          <w:rFonts w:ascii="宋体" w:hAnsi="宋体"/>
          <w:sz w:val="30"/>
        </w:rPr>
      </w:pPr>
      <w:r>
        <w:rPr>
          <w:rFonts w:hint="eastAsia" w:eastAsia="黑体"/>
          <w:color w:val="000000"/>
          <w:sz w:val="30"/>
        </w:rPr>
        <w:t>制 定 人：</w:t>
      </w:r>
      <w:r>
        <w:rPr>
          <w:rFonts w:hint="eastAsia" w:ascii="宋体" w:hAnsi="宋体"/>
          <w:sz w:val="30"/>
        </w:rPr>
        <w:t>吕游</w:t>
      </w:r>
    </w:p>
    <w:p>
      <w:pPr>
        <w:adjustRightInd w:val="0"/>
        <w:snapToGrid w:val="0"/>
        <w:spacing w:line="360" w:lineRule="auto"/>
        <w:ind w:firstLine="2700" w:firstLineChars="900"/>
        <w:rPr>
          <w:rFonts w:hint="eastAsia" w:ascii="宋体" w:hAnsi="宋体" w:eastAsia="黑体"/>
          <w:color w:val="000000"/>
          <w:sz w:val="30"/>
          <w:lang w:eastAsia="zh-CN"/>
        </w:rPr>
      </w:pPr>
      <w:r>
        <w:rPr>
          <w:rFonts w:hint="eastAsia" w:eastAsia="黑体"/>
          <w:color w:val="000000"/>
          <w:sz w:val="30"/>
        </w:rPr>
        <w:t>审 核 人：</w:t>
      </w:r>
      <w:r>
        <w:rPr>
          <w:rFonts w:hint="eastAsia" w:ascii="宋体" w:hAnsi="宋体" w:eastAsia="黑体"/>
          <w:sz w:val="30"/>
          <w:lang w:val="en-US" w:eastAsia="zh-CN"/>
        </w:rPr>
        <w:t>陈菁菁</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2019年7</w:t>
      </w:r>
      <w:bookmarkStart w:id="0" w:name="_GoBack"/>
      <w:bookmarkEnd w:id="0"/>
      <w:r>
        <w:rPr>
          <w:rFonts w:hint="eastAsia" w:ascii="宋体" w:hAnsi="宋体"/>
          <w:sz w:val="30"/>
        </w:rPr>
        <w:t>月</w:t>
      </w: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525" w:firstLineChars="250"/>
        <w:rPr>
          <w:rFonts w:ascii="宋体" w:hAnsi="宋体"/>
        </w:rPr>
      </w:pPr>
      <w:r>
        <w:rPr>
          <w:rFonts w:hint="eastAsia" w:ascii="宋体" w:hAnsi="宋体"/>
        </w:rPr>
        <w:t>《设计与生活方式》是环境设计专业的一门限选的实训课程。本课程探讨设计与当代生活方式的关系、设计如何引导生活方式、设计扮演何种角色等方面，使学生能够从设计中来，到设计中去，深入生活，实现理论和实践的统一，引导学生共同探讨设计与新生活方式的关系，学习设计方法与技巧，提高自主学习、逻辑思维、汇报能力，从而提升设计的素质和能力。</w:t>
      </w:r>
    </w:p>
    <w:p>
      <w:pPr>
        <w:adjustRightInd w:val="0"/>
        <w:snapToGrid w:val="0"/>
        <w:spacing w:line="360" w:lineRule="auto"/>
        <w:ind w:firstLine="360" w:firstLineChars="150"/>
        <w:rPr>
          <w:rFonts w:ascii="宋体" w:hAnsi="宋体"/>
        </w:rPr>
      </w:pPr>
      <w:r>
        <w:rPr>
          <w:rFonts w:hint="eastAsia" w:ascii="宋体" w:hAnsi="宋体" w:eastAsia="黑体"/>
          <w:sz w:val="24"/>
        </w:rPr>
        <w:t>（二）教学目标</w:t>
      </w:r>
    </w:p>
    <w:p>
      <w:pPr>
        <w:adjustRightInd w:val="0"/>
        <w:snapToGrid w:val="0"/>
        <w:spacing w:line="360" w:lineRule="auto"/>
        <w:ind w:firstLine="525" w:firstLineChars="250"/>
        <w:rPr>
          <w:rFonts w:ascii="宋体" w:hAnsi="宋体"/>
        </w:rPr>
      </w:pPr>
      <w:r>
        <w:rPr>
          <w:rFonts w:hint="eastAsia" w:ascii="宋体" w:hAnsi="宋体"/>
        </w:rPr>
        <w:t>通过对设计与生活方式的探讨学习，使学生了解现阶段最新科学技术、引领时代发展的生活话题与设计的关系；明确设计引导生活的意义，正确理解设计活动的发生、发展的规律；培养学生运用设计的基本原理分析和认识生活活动的现象和对作品进行赏析，并在已有的设计能力的基础之上拓展学生的设计眼界与思维。</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525" w:firstLineChars="250"/>
        <w:rPr>
          <w:rFonts w:ascii="宋体" w:hAnsi="宋体"/>
        </w:rPr>
      </w:pPr>
      <w:r>
        <w:rPr>
          <w:rFonts w:hint="eastAsia" w:ascii="宋体" w:hAnsi="宋体"/>
        </w:rPr>
        <w:t>本课程适用于环境设计专业大四学生。</w:t>
      </w:r>
    </w:p>
    <w:p>
      <w:pPr>
        <w:adjustRightInd w:val="0"/>
        <w:snapToGrid w:val="0"/>
        <w:spacing w:line="360" w:lineRule="auto"/>
        <w:ind w:firstLine="360" w:firstLineChars="15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525" w:firstLineChars="250"/>
        <w:rPr>
          <w:rFonts w:ascii="宋体" w:hAnsi="宋体"/>
        </w:rPr>
      </w:pPr>
      <w:r>
        <w:rPr>
          <w:rFonts w:hint="eastAsia" w:ascii="宋体" w:hAnsi="宋体"/>
        </w:rPr>
        <w:t>先修课程：构成基础，设计心理学，公共空间室内设计一、二，园林景观规划设计一、二，</w:t>
      </w:r>
    </w:p>
    <w:p>
      <w:pPr>
        <w:adjustRightInd w:val="0"/>
        <w:snapToGrid w:val="0"/>
        <w:spacing w:line="360" w:lineRule="auto"/>
        <w:ind w:firstLine="525" w:firstLineChars="250"/>
        <w:rPr>
          <w:rFonts w:ascii="宋体" w:hAnsi="宋体"/>
        </w:rPr>
      </w:pPr>
      <w:r>
        <w:rPr>
          <w:rFonts w:hint="eastAsia" w:ascii="宋体" w:hAnsi="宋体"/>
        </w:rPr>
        <w:t>后续课程：毕业设计、毕业实习</w:t>
      </w:r>
    </w:p>
    <w:p>
      <w:pPr>
        <w:adjustRightInd w:val="0"/>
        <w:snapToGrid w:val="0"/>
        <w:spacing w:line="360" w:lineRule="auto"/>
        <w:ind w:firstLine="275" w:firstLineChars="98"/>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525" w:firstLineChars="250"/>
        <w:rPr>
          <w:rFonts w:ascii="宋体" w:hAnsi="宋体"/>
        </w:rPr>
      </w:pPr>
      <w:r>
        <w:rPr>
          <w:rFonts w:hint="eastAsia" w:ascii="宋体" w:hAnsi="宋体"/>
        </w:rPr>
        <w:t>注重理论与实践相结合，避免授课内容空洞乏味，深入浅出地阐明理论的内涵；通过实践活动加强对理论知识内容的消化与吸收，着重强调引导学生自主学习的能力。</w:t>
      </w:r>
    </w:p>
    <w:p>
      <w:pPr>
        <w:adjustRightInd w:val="0"/>
        <w:snapToGrid w:val="0"/>
        <w:spacing w:line="360" w:lineRule="auto"/>
        <w:ind w:firstLine="275" w:firstLineChars="98"/>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本课程总学时计24学时。</w:t>
      </w:r>
    </w:p>
    <w:p>
      <w:pPr>
        <w:adjustRightInd w:val="0"/>
        <w:snapToGrid w:val="0"/>
        <w:spacing w:line="360" w:lineRule="auto"/>
        <w:ind w:firstLine="1050" w:firstLineChars="500"/>
        <w:rPr>
          <w:rFonts w:ascii="宋体" w:hAnsi="宋体"/>
        </w:rPr>
      </w:pPr>
      <w:r>
        <w:rPr>
          <w:rFonts w:hint="eastAsia" w:ascii="宋体" w:hAnsi="宋体"/>
        </w:rPr>
        <w:t>理论课时：0</w:t>
      </w:r>
    </w:p>
    <w:p>
      <w:pPr>
        <w:adjustRightInd w:val="0"/>
        <w:snapToGrid w:val="0"/>
        <w:spacing w:line="360" w:lineRule="auto"/>
        <w:ind w:firstLine="1050" w:firstLineChars="500"/>
        <w:rPr>
          <w:rFonts w:ascii="宋体" w:hAnsi="宋体"/>
        </w:rPr>
      </w:pPr>
      <w:r>
        <w:rPr>
          <w:rFonts w:hint="eastAsia" w:ascii="宋体" w:hAnsi="宋体"/>
        </w:rPr>
        <w:t>实践课时：24</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6"/>
        <w:tblW w:w="85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16"/>
        <w:gridCol w:w="665"/>
        <w:gridCol w:w="5283"/>
        <w:gridCol w:w="832"/>
        <w:gridCol w:w="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540" w:type="dxa"/>
            <w:vAlign w:val="center"/>
          </w:tcPr>
          <w:p>
            <w:pPr>
              <w:rPr>
                <w:b/>
              </w:rPr>
            </w:pPr>
            <w:r>
              <w:rPr>
                <w:rFonts w:hint="eastAsia"/>
                <w:b/>
              </w:rPr>
              <w:t>周别</w:t>
            </w:r>
          </w:p>
        </w:tc>
        <w:tc>
          <w:tcPr>
            <w:tcW w:w="716" w:type="dxa"/>
            <w:vAlign w:val="center"/>
          </w:tcPr>
          <w:p>
            <w:pPr>
              <w:rPr>
                <w:b/>
              </w:rPr>
            </w:pPr>
            <w:r>
              <w:rPr>
                <w:rFonts w:hint="eastAsia"/>
                <w:b/>
              </w:rPr>
              <w:t>授课次数</w:t>
            </w:r>
          </w:p>
        </w:tc>
        <w:tc>
          <w:tcPr>
            <w:tcW w:w="665" w:type="dxa"/>
            <w:vAlign w:val="center"/>
          </w:tcPr>
          <w:p>
            <w:pPr>
              <w:rPr>
                <w:rFonts w:hint="eastAsia"/>
                <w:b/>
              </w:rPr>
            </w:pPr>
            <w:r>
              <w:rPr>
                <w:rFonts w:hint="eastAsia"/>
                <w:b/>
                <w:szCs w:val="21"/>
              </w:rPr>
              <w:t>授课章节</w:t>
            </w:r>
          </w:p>
        </w:tc>
        <w:tc>
          <w:tcPr>
            <w:tcW w:w="5283" w:type="dxa"/>
            <w:vAlign w:val="center"/>
          </w:tcPr>
          <w:p>
            <w:pPr>
              <w:ind w:firstLine="548"/>
              <w:rPr>
                <w:b/>
              </w:rPr>
            </w:pPr>
            <w:r>
              <w:rPr>
                <w:rFonts w:hint="eastAsia"/>
                <w:b/>
              </w:rPr>
              <w:t xml:space="preserve">    授课章节与内容摘要</w:t>
            </w:r>
          </w:p>
        </w:tc>
        <w:tc>
          <w:tcPr>
            <w:tcW w:w="832" w:type="dxa"/>
            <w:vAlign w:val="center"/>
          </w:tcPr>
          <w:p>
            <w:pPr>
              <w:rPr>
                <w:rFonts w:hint="eastAsia"/>
                <w:b/>
                <w:szCs w:val="21"/>
              </w:rPr>
            </w:pPr>
            <w:r>
              <w:rPr>
                <w:rFonts w:hint="eastAsia"/>
                <w:b/>
                <w:szCs w:val="21"/>
              </w:rPr>
              <w:t>教学时数</w:t>
            </w:r>
          </w:p>
        </w:tc>
        <w:tc>
          <w:tcPr>
            <w:tcW w:w="493" w:type="dxa"/>
            <w:vAlign w:val="center"/>
          </w:tcPr>
          <w:p>
            <w:pPr>
              <w:rPr>
                <w:rFonts w:hint="eastAsia"/>
                <w:b/>
                <w:szCs w:val="21"/>
              </w:rPr>
            </w:pPr>
            <w:r>
              <w:rPr>
                <w:rFonts w:hint="eastAsia"/>
                <w:b/>
                <w:szCs w:val="21"/>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540" w:type="dxa"/>
            <w:vAlign w:val="center"/>
          </w:tcPr>
          <w:p>
            <w:pPr>
              <w:rPr>
                <w:szCs w:val="21"/>
              </w:rPr>
            </w:pPr>
            <w:r>
              <w:rPr>
                <w:rFonts w:hint="eastAsia"/>
                <w:szCs w:val="21"/>
              </w:rPr>
              <w:t>1</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eastAsia="宋体"/>
                <w:szCs w:val="21"/>
                <w:lang w:val="en-US" w:eastAsia="zh-CN"/>
              </w:rPr>
            </w:pPr>
            <w:r>
              <w:rPr>
                <w:rFonts w:hint="eastAsia"/>
                <w:szCs w:val="21"/>
                <w:lang w:val="en-US" w:eastAsia="zh-CN"/>
              </w:rPr>
              <w:t>1</w:t>
            </w:r>
          </w:p>
        </w:tc>
        <w:tc>
          <w:tcPr>
            <w:tcW w:w="5283" w:type="dxa"/>
            <w:vAlign w:val="center"/>
          </w:tcPr>
          <w:p>
            <w:r>
              <w:rPr>
                <w:rFonts w:hint="eastAsia"/>
              </w:rPr>
              <w:t>第1章 健康导向的城市绿色空间设计</w:t>
            </w:r>
          </w:p>
          <w:p>
            <w:r>
              <w:rPr>
                <w:rFonts w:hint="eastAsia" w:ascii="宋体" w:hAnsi="宋体" w:cs="宋体"/>
                <w:bCs/>
                <w:kern w:val="0"/>
                <w:szCs w:val="21"/>
              </w:rPr>
              <w:t>1.1健康中国战略</w:t>
            </w:r>
          </w:p>
          <w:p>
            <w:pPr>
              <w:spacing w:before="156" w:beforeLines="50" w:after="156" w:afterLines="50" w:line="240" w:lineRule="exact"/>
            </w:pPr>
            <w:r>
              <w:rPr>
                <w:rFonts w:hint="eastAsia" w:ascii="宋体" w:hAnsi="宋体" w:cs="宋体"/>
                <w:bCs/>
                <w:kern w:val="0"/>
                <w:szCs w:val="21"/>
              </w:rPr>
              <w:t>1.2</w:t>
            </w:r>
            <w:r>
              <w:rPr>
                <w:rFonts w:hint="eastAsia"/>
              </w:rPr>
              <w:t>健康导向下的新生活方式</w:t>
            </w:r>
          </w:p>
          <w:p>
            <w:pPr>
              <w:spacing w:before="156" w:beforeLines="50" w:after="156" w:afterLines="50" w:line="240" w:lineRule="exact"/>
              <w:rPr>
                <w:rFonts w:ascii="宋体" w:hAnsi="宋体" w:cs="宋体"/>
                <w:bCs/>
                <w:kern w:val="0"/>
                <w:szCs w:val="21"/>
              </w:rPr>
            </w:pPr>
            <w:r>
              <w:rPr>
                <w:rFonts w:hint="eastAsia"/>
              </w:rPr>
              <w:t>1.3新生活方式下的绿色空间设计</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主题沙龙</w:t>
            </w:r>
          </w:p>
        </w:tc>
        <w:tc>
          <w:tcPr>
            <w:tcW w:w="832" w:type="dxa"/>
            <w:vAlign w:val="center"/>
          </w:tcPr>
          <w:p>
            <w:pPr>
              <w:jc w:val="center"/>
              <w:rPr>
                <w:szCs w:val="21"/>
              </w:rPr>
            </w:pPr>
            <w:r>
              <w:rPr>
                <w:rFonts w:hint="eastAsia" w:ascii="宋体" w:hAnsi="宋体"/>
              </w:rPr>
              <w:t>4</w:t>
            </w:r>
          </w:p>
        </w:tc>
        <w:tc>
          <w:tcPr>
            <w:tcW w:w="493"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540" w:type="dxa"/>
            <w:vAlign w:val="center"/>
          </w:tcPr>
          <w:p>
            <w:pPr>
              <w:rPr>
                <w:szCs w:val="21"/>
              </w:rPr>
            </w:pPr>
            <w:r>
              <w:rPr>
                <w:rFonts w:hint="eastAsia"/>
                <w:szCs w:val="21"/>
              </w:rPr>
              <w:t>2</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5283" w:type="dxa"/>
            <w:vAlign w:val="center"/>
          </w:tcPr>
          <w:p>
            <w:r>
              <w:rPr>
                <w:rFonts w:hint="eastAsia" w:ascii="宋体" w:hAnsi="宋体" w:cs="宋体"/>
                <w:bCs/>
                <w:kern w:val="0"/>
                <w:szCs w:val="21"/>
              </w:rPr>
              <w:t>第2章 </w:t>
            </w:r>
            <w:r>
              <w:rPr>
                <w:rFonts w:hint="eastAsia"/>
              </w:rPr>
              <w:t>环保生活方式下的行为引导性设计</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2.1垃圾分类时代下的新生活方式</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2.2产品引导用户行为的设计</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主题沙龙</w:t>
            </w:r>
          </w:p>
        </w:tc>
        <w:tc>
          <w:tcPr>
            <w:tcW w:w="832" w:type="dxa"/>
            <w:vAlign w:val="center"/>
          </w:tcPr>
          <w:p>
            <w:pPr>
              <w:jc w:val="center"/>
              <w:rPr>
                <w:rFonts w:ascii="宋体" w:hAnsi="宋体"/>
              </w:rPr>
            </w:pPr>
            <w:r>
              <w:rPr>
                <w:rFonts w:hint="eastAsia" w:ascii="宋体" w:hAnsi="宋体"/>
              </w:rPr>
              <w:t>4</w:t>
            </w:r>
          </w:p>
        </w:tc>
        <w:tc>
          <w:tcPr>
            <w:tcW w:w="493"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540" w:type="dxa"/>
            <w:vAlign w:val="center"/>
          </w:tcPr>
          <w:p>
            <w:pPr>
              <w:rPr>
                <w:szCs w:val="21"/>
              </w:rPr>
            </w:pPr>
            <w:r>
              <w:rPr>
                <w:rFonts w:hint="eastAsia"/>
                <w:szCs w:val="21"/>
              </w:rPr>
              <w:t>3</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eastAsia="宋体"/>
                <w:szCs w:val="21"/>
                <w:lang w:val="en-US" w:eastAsia="zh-CN"/>
              </w:rPr>
            </w:pPr>
            <w:r>
              <w:rPr>
                <w:rFonts w:hint="eastAsia"/>
                <w:szCs w:val="21"/>
                <w:lang w:val="en-US" w:eastAsia="zh-CN"/>
              </w:rPr>
              <w:t>3</w:t>
            </w:r>
          </w:p>
        </w:tc>
        <w:tc>
          <w:tcPr>
            <w:tcW w:w="5283" w:type="dxa"/>
            <w:vAlign w:val="center"/>
          </w:tcPr>
          <w:p>
            <w:r>
              <w:rPr>
                <w:rFonts w:hint="eastAsia" w:ascii="宋体" w:hAnsi="宋体" w:cs="宋体"/>
                <w:bCs/>
                <w:kern w:val="0"/>
                <w:szCs w:val="21"/>
              </w:rPr>
              <w:t>第3章 体验经济时代下的环境图形设计表现</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3.1环境图形的作用</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3.2体验经济时代下的环境图形设计表现形式</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3.3体验经济时代下的环境图形设计要素</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主题沙龙</w:t>
            </w:r>
          </w:p>
        </w:tc>
        <w:tc>
          <w:tcPr>
            <w:tcW w:w="832" w:type="dxa"/>
            <w:vAlign w:val="center"/>
          </w:tcPr>
          <w:p>
            <w:pPr>
              <w:jc w:val="center"/>
              <w:rPr>
                <w:rFonts w:ascii="宋体" w:hAnsi="宋体"/>
              </w:rPr>
            </w:pPr>
            <w:r>
              <w:rPr>
                <w:rFonts w:hint="eastAsia" w:ascii="宋体" w:hAnsi="宋体"/>
              </w:rPr>
              <w:t>4</w:t>
            </w:r>
          </w:p>
        </w:tc>
        <w:tc>
          <w:tcPr>
            <w:tcW w:w="493"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540" w:type="dxa"/>
            <w:vAlign w:val="center"/>
          </w:tcPr>
          <w:p>
            <w:pPr>
              <w:rPr>
                <w:szCs w:val="21"/>
              </w:rPr>
            </w:pPr>
            <w:r>
              <w:rPr>
                <w:rFonts w:hint="eastAsia"/>
                <w:szCs w:val="21"/>
              </w:rPr>
              <w:t>4</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eastAsia="宋体"/>
                <w:szCs w:val="21"/>
                <w:lang w:val="en-US" w:eastAsia="zh-CN"/>
              </w:rPr>
            </w:pPr>
            <w:r>
              <w:rPr>
                <w:rFonts w:hint="eastAsia"/>
                <w:szCs w:val="21"/>
                <w:lang w:val="en-US" w:eastAsia="zh-CN"/>
              </w:rPr>
              <w:t>4</w:t>
            </w:r>
          </w:p>
        </w:tc>
        <w:tc>
          <w:tcPr>
            <w:tcW w:w="5283" w:type="dxa"/>
            <w:vAlign w:val="center"/>
          </w:tcPr>
          <w:p>
            <w:r>
              <w:rPr>
                <w:rFonts w:hint="eastAsia" w:ascii="宋体" w:hAnsi="宋体" w:cs="宋体"/>
                <w:bCs/>
                <w:kern w:val="0"/>
                <w:szCs w:val="21"/>
              </w:rPr>
              <w:t>第4章 交互设计在城市公共设施中的应用</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4.1公交车站公共设施的交互设计</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4.2商业步行街公共设施的交互设计</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4.3校园公共公共设施的交互设计</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主题沙龙</w:t>
            </w:r>
          </w:p>
        </w:tc>
        <w:tc>
          <w:tcPr>
            <w:tcW w:w="832" w:type="dxa"/>
            <w:vAlign w:val="center"/>
          </w:tcPr>
          <w:p>
            <w:pPr>
              <w:jc w:val="center"/>
              <w:rPr>
                <w:rFonts w:ascii="宋体" w:hAnsi="宋体"/>
              </w:rPr>
            </w:pPr>
            <w:r>
              <w:rPr>
                <w:rFonts w:hint="eastAsia" w:ascii="宋体" w:hAnsi="宋体"/>
              </w:rPr>
              <w:t>4</w:t>
            </w:r>
          </w:p>
        </w:tc>
        <w:tc>
          <w:tcPr>
            <w:tcW w:w="493"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540" w:type="dxa"/>
            <w:vAlign w:val="center"/>
          </w:tcPr>
          <w:p>
            <w:pPr>
              <w:rPr>
                <w:szCs w:val="21"/>
              </w:rPr>
            </w:pPr>
            <w:r>
              <w:rPr>
                <w:rFonts w:hint="eastAsia"/>
                <w:szCs w:val="21"/>
              </w:rPr>
              <w:t>5</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eastAsia="宋体"/>
                <w:szCs w:val="21"/>
                <w:lang w:val="en-US" w:eastAsia="zh-CN"/>
              </w:rPr>
            </w:pPr>
            <w:r>
              <w:rPr>
                <w:rFonts w:hint="eastAsia"/>
                <w:szCs w:val="21"/>
                <w:lang w:val="en-US" w:eastAsia="zh-CN"/>
              </w:rPr>
              <w:t>5</w:t>
            </w:r>
          </w:p>
        </w:tc>
        <w:tc>
          <w:tcPr>
            <w:tcW w:w="5283" w:type="dxa"/>
            <w:vAlign w:val="center"/>
          </w:tcPr>
          <w:p>
            <w:r>
              <w:rPr>
                <w:rFonts w:hint="eastAsia" w:ascii="宋体" w:hAnsi="宋体" w:cs="宋体"/>
                <w:bCs/>
                <w:kern w:val="0"/>
                <w:szCs w:val="21"/>
              </w:rPr>
              <w:t>第5章 </w:t>
            </w:r>
            <w:r>
              <w:rPr>
                <w:rFonts w:hint="eastAsia"/>
              </w:rPr>
              <w:t>商品消费时代下奢侈品与艺术设计的跨界合作</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主题沙龙</w:t>
            </w:r>
          </w:p>
        </w:tc>
        <w:tc>
          <w:tcPr>
            <w:tcW w:w="832" w:type="dxa"/>
            <w:vAlign w:val="center"/>
          </w:tcPr>
          <w:p>
            <w:pPr>
              <w:jc w:val="center"/>
              <w:rPr>
                <w:rFonts w:ascii="宋体" w:hAnsi="宋体"/>
              </w:rPr>
            </w:pPr>
            <w:r>
              <w:rPr>
                <w:rFonts w:hint="eastAsia" w:ascii="宋体" w:hAnsi="宋体"/>
              </w:rPr>
              <w:t>4</w:t>
            </w:r>
          </w:p>
        </w:tc>
        <w:tc>
          <w:tcPr>
            <w:tcW w:w="493"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540" w:type="dxa"/>
            <w:vAlign w:val="center"/>
          </w:tcPr>
          <w:p>
            <w:pPr>
              <w:rPr>
                <w:szCs w:val="21"/>
              </w:rPr>
            </w:pPr>
            <w:r>
              <w:rPr>
                <w:rFonts w:hint="eastAsia"/>
                <w:szCs w:val="21"/>
              </w:rPr>
              <w:t>6</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szCs w:val="21"/>
              </w:rPr>
            </w:pPr>
          </w:p>
        </w:tc>
        <w:tc>
          <w:tcPr>
            <w:tcW w:w="5283" w:type="dxa"/>
            <w:vAlign w:val="center"/>
          </w:tcPr>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综合主题性汇报</w:t>
            </w:r>
          </w:p>
        </w:tc>
        <w:tc>
          <w:tcPr>
            <w:tcW w:w="832" w:type="dxa"/>
            <w:vAlign w:val="center"/>
          </w:tcPr>
          <w:p>
            <w:pPr>
              <w:jc w:val="center"/>
              <w:rPr>
                <w:rFonts w:ascii="宋体" w:hAnsi="宋体"/>
              </w:rPr>
            </w:pPr>
            <w:r>
              <w:rPr>
                <w:rFonts w:hint="eastAsia" w:ascii="宋体" w:hAnsi="宋体"/>
              </w:rPr>
              <w:t>4</w:t>
            </w:r>
          </w:p>
        </w:tc>
        <w:tc>
          <w:tcPr>
            <w:tcW w:w="493" w:type="dxa"/>
            <w:vAlign w:val="center"/>
          </w:tcPr>
          <w:p>
            <w:pPr>
              <w:rPr>
                <w:szCs w:val="21"/>
              </w:rPr>
            </w:pP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ind w:firstLine="420" w:firstLineChars="200"/>
      </w:pPr>
      <w:r>
        <w:rPr>
          <w:rFonts w:hint="eastAsia"/>
        </w:rPr>
        <w:t>本课程为实践课程，教学内容为了拓展学生的知识面、培养学生的发散思维、设计素养、独立汇报能力、并为毕业设计打下基础。课程分五大讨论主题，以学生为主体、老师引导。</w:t>
      </w:r>
    </w:p>
    <w:p>
      <w:r>
        <w:rPr>
          <w:rFonts w:hint="eastAsia"/>
        </w:rPr>
        <w:t>课堂实践训练要求：紧密联系实际，培养学生具体分析案例、解决实际问题的能力。艺术与人类社会活动、艺术与人类文化发展、艺术的美育功能以及艺术的本质有一定的深入了解。把课堂学习与学科理论的学习融入对设计的研究和认识之中，切实提高分析问题、解决问题的能力。</w:t>
      </w:r>
    </w:p>
    <w:p>
      <w:pPr>
        <w:adjustRightInd w:val="0"/>
        <w:snapToGrid w:val="0"/>
        <w:spacing w:before="156" w:beforeLines="50" w:after="156" w:afterLines="50"/>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ind w:firstLine="422" w:firstLineChars="201"/>
        <w:rPr>
          <w:rFonts w:ascii="宋体" w:hAnsi="宋体"/>
          <w:szCs w:val="21"/>
        </w:rPr>
      </w:pPr>
      <w:r>
        <w:rPr>
          <w:rFonts w:hint="eastAsia" w:ascii="宋体" w:hAnsi="宋体"/>
          <w:szCs w:val="21"/>
        </w:rPr>
        <w:t>1、参考书：</w:t>
      </w:r>
      <w:r>
        <w:rPr>
          <w:rFonts w:ascii="宋体" w:hAnsi="宋体"/>
          <w:szCs w:val="21"/>
        </w:rPr>
        <w:t xml:space="preserve"> </w:t>
      </w:r>
    </w:p>
    <w:p>
      <w:pPr>
        <w:spacing w:line="360" w:lineRule="auto"/>
        <w:ind w:left="840" w:leftChars="200" w:hanging="420" w:hangingChars="200"/>
        <w:rPr>
          <w:rFonts w:ascii="宋体" w:hAnsi="宋体"/>
          <w:szCs w:val="21"/>
        </w:rPr>
      </w:pPr>
      <w:r>
        <w:rPr>
          <w:rFonts w:hint="eastAsia" w:ascii="宋体" w:hAnsi="宋体"/>
          <w:szCs w:val="21"/>
        </w:rPr>
        <w:t xml:space="preserve">[1] </w:t>
      </w:r>
      <w:r>
        <w:fldChar w:fldCharType="begin"/>
      </w:r>
      <w:r>
        <w:instrText xml:space="preserve"> HYPERLINK "http://search.dangdang.com/?key2=%D0%EC%CA%CA&amp;medium=01&amp;category_path=01.00.00.00.00.00" \t "_blank" </w:instrText>
      </w:r>
      <w:r>
        <w:fldChar w:fldCharType="separate"/>
      </w:r>
      <w:r>
        <w:rPr>
          <w:rFonts w:ascii="宋体" w:hAnsi="宋体"/>
          <w:szCs w:val="21"/>
        </w:rPr>
        <w:t>徐适</w:t>
      </w:r>
      <w:r>
        <w:rPr>
          <w:rFonts w:ascii="宋体" w:hAnsi="宋体"/>
          <w:szCs w:val="21"/>
        </w:rPr>
        <w:fldChar w:fldCharType="end"/>
      </w:r>
      <w:r>
        <w:rPr>
          <w:rFonts w:hint="eastAsia" w:ascii="宋体" w:hAnsi="宋体"/>
          <w:szCs w:val="21"/>
        </w:rPr>
        <w:t>，《</w:t>
      </w:r>
      <w:r>
        <w:rPr>
          <w:rFonts w:ascii="宋体" w:hAnsi="宋体"/>
          <w:szCs w:val="21"/>
        </w:rPr>
        <w:t>品牌设计法则</w:t>
      </w:r>
      <w:r>
        <w:rPr>
          <w:rFonts w:hint="eastAsia" w:ascii="宋体" w:hAnsi="宋体"/>
          <w:szCs w:val="21"/>
        </w:rPr>
        <w:t>》，石家庄：</w:t>
      </w:r>
      <w:r>
        <w:fldChar w:fldCharType="begin"/>
      </w:r>
      <w:r>
        <w:instrText xml:space="preserve"> HYPERLINK "http://search.dangdang.com/?key3=%C8%CB%C3%F1%D3%CA%B5%E7%B3%F6%B0%E6%C9%E7&amp;medium=01&amp;category_path=01.00.00.00.00.00" \t "_blank" </w:instrText>
      </w:r>
      <w:r>
        <w:fldChar w:fldCharType="separate"/>
      </w:r>
      <w:r>
        <w:rPr>
          <w:rFonts w:ascii="宋体" w:hAnsi="宋体"/>
          <w:szCs w:val="21"/>
        </w:rPr>
        <w:t>人民邮电出版社</w:t>
      </w:r>
      <w:r>
        <w:rPr>
          <w:rFonts w:ascii="宋体" w:hAnsi="宋体"/>
          <w:szCs w:val="21"/>
        </w:rPr>
        <w:fldChar w:fldCharType="end"/>
      </w:r>
      <w:r>
        <w:rPr>
          <w:rFonts w:hint="eastAsia" w:ascii="宋体" w:hAnsi="宋体"/>
          <w:szCs w:val="21"/>
        </w:rPr>
        <w:t>，</w:t>
      </w:r>
      <w:r>
        <w:rPr>
          <w:rFonts w:ascii="宋体" w:hAnsi="宋体"/>
          <w:szCs w:val="21"/>
        </w:rPr>
        <w:t>2018</w:t>
      </w:r>
    </w:p>
    <w:p>
      <w:pPr>
        <w:spacing w:line="360" w:lineRule="auto"/>
        <w:ind w:left="840" w:leftChars="200" w:hanging="420" w:hangingChars="200"/>
        <w:rPr>
          <w:rFonts w:ascii="宋体" w:hAnsi="宋体"/>
          <w:szCs w:val="21"/>
        </w:rPr>
      </w:pPr>
      <w:r>
        <w:rPr>
          <w:rFonts w:hint="eastAsia" w:ascii="宋体" w:hAnsi="宋体"/>
          <w:szCs w:val="21"/>
        </w:rPr>
        <w:t xml:space="preserve">[2] </w:t>
      </w:r>
      <w:r>
        <w:fldChar w:fldCharType="begin"/>
      </w:r>
      <w:r>
        <w:instrText xml:space="preserve"> HYPERLINK "http://search.dangdang.com/?key2=WingST&amp;medium=01&amp;category_path=01.00.00.00.00.00" \t "_blank" </w:instrText>
      </w:r>
      <w:r>
        <w:fldChar w:fldCharType="separate"/>
      </w:r>
      <w:r>
        <w:rPr>
          <w:rFonts w:ascii="宋体" w:hAnsi="宋体"/>
          <w:szCs w:val="21"/>
        </w:rPr>
        <w:t>WingST</w:t>
      </w:r>
      <w:r>
        <w:rPr>
          <w:rFonts w:ascii="宋体" w:hAnsi="宋体"/>
          <w:szCs w:val="21"/>
        </w:rPr>
        <w:fldChar w:fldCharType="end"/>
      </w:r>
      <w:r>
        <w:rPr>
          <w:rFonts w:hint="eastAsia" w:ascii="宋体" w:hAnsi="宋体"/>
          <w:szCs w:val="21"/>
        </w:rPr>
        <w:t>，《</w:t>
      </w:r>
      <w:r>
        <w:rPr>
          <w:rFonts w:ascii="宋体" w:hAnsi="宋体"/>
          <w:szCs w:val="21"/>
        </w:rPr>
        <w:t>交互思维：详解交互设计师技能树</w:t>
      </w:r>
      <w:r>
        <w:rPr>
          <w:rFonts w:hint="eastAsia" w:ascii="宋体" w:hAnsi="宋体"/>
          <w:szCs w:val="21"/>
        </w:rPr>
        <w:t>》，重庆：</w:t>
      </w:r>
      <w:r>
        <w:fldChar w:fldCharType="begin"/>
      </w:r>
      <w:r>
        <w:instrText xml:space="preserve"> HYPERLINK "http://search.dangdang.com/?key3=%B5%E7%D7%D3%B9%A4%D2%B5%B3%F6%B0%E6%C9%E7&amp;medium=01&amp;category_path=01.00.00.00.00.00" \t "_blank" </w:instrText>
      </w:r>
      <w:r>
        <w:fldChar w:fldCharType="separate"/>
      </w:r>
      <w:r>
        <w:rPr>
          <w:rFonts w:ascii="宋体" w:hAnsi="宋体"/>
          <w:szCs w:val="21"/>
        </w:rPr>
        <w:t>电子工业出版社</w:t>
      </w:r>
      <w:r>
        <w:rPr>
          <w:rFonts w:ascii="宋体" w:hAnsi="宋体"/>
          <w:szCs w:val="21"/>
        </w:rPr>
        <w:fldChar w:fldCharType="end"/>
      </w:r>
      <w:r>
        <w:rPr>
          <w:rFonts w:hint="eastAsia" w:ascii="宋体" w:hAnsi="宋体"/>
          <w:szCs w:val="21"/>
        </w:rPr>
        <w:t>，2019</w:t>
      </w:r>
    </w:p>
    <w:p>
      <w:pPr>
        <w:spacing w:line="360" w:lineRule="auto"/>
        <w:ind w:left="840" w:leftChars="200" w:hanging="420" w:hangingChars="200"/>
        <w:rPr>
          <w:rFonts w:ascii="宋体" w:hAnsi="宋体"/>
          <w:szCs w:val="21"/>
        </w:rPr>
      </w:pPr>
      <w:r>
        <w:rPr>
          <w:rFonts w:hint="eastAsia" w:ascii="宋体" w:hAnsi="宋体"/>
          <w:szCs w:val="21"/>
        </w:rPr>
        <w:t xml:space="preserve">[3] </w:t>
      </w:r>
      <w:r>
        <w:fldChar w:fldCharType="begin"/>
      </w:r>
      <w:r>
        <w:instrText xml:space="preserve"> HYPERLINK "http://search.dangdang.com/?key2=%C2%DE%B1%F6%A1%A4%C0%BC%B4%EF&amp;medium=01&amp;category_path=01.00.00.00.00.00" \t "_blank" </w:instrText>
      </w:r>
      <w:r>
        <w:fldChar w:fldCharType="separate"/>
      </w:r>
      <w:r>
        <w:rPr>
          <w:rFonts w:ascii="宋体" w:hAnsi="宋体"/>
          <w:szCs w:val="21"/>
        </w:rPr>
        <w:t>罗宾·兰达</w:t>
      </w:r>
      <w:r>
        <w:rPr>
          <w:rFonts w:ascii="宋体" w:hAnsi="宋体"/>
          <w:szCs w:val="21"/>
        </w:rPr>
        <w:fldChar w:fldCharType="end"/>
      </w:r>
      <w:r>
        <w:rPr>
          <w:rFonts w:ascii="宋体" w:hAnsi="宋体"/>
          <w:szCs w:val="21"/>
        </w:rPr>
        <w:t>著，</w:t>
      </w:r>
      <w:r>
        <w:fldChar w:fldCharType="begin"/>
      </w:r>
      <w:r>
        <w:instrText xml:space="preserve"> HYPERLINK "http://search.dangdang.com/?key2=%CD%F5%CA%F7%C1%BC&amp;medium=01&amp;category_path=01.00.00.00.00.00" \t "_blank" </w:instrText>
      </w:r>
      <w:r>
        <w:fldChar w:fldCharType="separate"/>
      </w:r>
      <w:r>
        <w:rPr>
          <w:rFonts w:ascii="宋体" w:hAnsi="宋体"/>
          <w:szCs w:val="21"/>
        </w:rPr>
        <w:t>王树良</w:t>
      </w:r>
      <w:r>
        <w:rPr>
          <w:rFonts w:ascii="宋体" w:hAnsi="宋体"/>
          <w:szCs w:val="21"/>
        </w:rPr>
        <w:fldChar w:fldCharType="end"/>
      </w:r>
      <w:r>
        <w:rPr>
          <w:rFonts w:ascii="宋体" w:hAnsi="宋体"/>
          <w:szCs w:val="21"/>
        </w:rPr>
        <w:t>译</w:t>
      </w:r>
      <w:r>
        <w:rPr>
          <w:rFonts w:hint="eastAsia" w:ascii="宋体" w:hAnsi="宋体"/>
          <w:szCs w:val="21"/>
        </w:rPr>
        <w:t>，《</w:t>
      </w:r>
      <w:r>
        <w:rPr>
          <w:rFonts w:ascii="宋体" w:hAnsi="宋体"/>
          <w:szCs w:val="21"/>
        </w:rPr>
        <w:t>设计新经典·国际艺术与设计学院名师精品课——跨媒介广告创意与设计</w:t>
      </w:r>
      <w:r>
        <w:rPr>
          <w:rFonts w:hint="eastAsia" w:ascii="宋体" w:hAnsi="宋体"/>
          <w:szCs w:val="21"/>
        </w:rPr>
        <w:t>》，北京：</w:t>
      </w:r>
      <w:r>
        <w:fldChar w:fldCharType="begin"/>
      </w:r>
      <w:r>
        <w:instrText xml:space="preserve"> HYPERLINK "http://search.dangdang.com/?key3=%C9%CF%BA%A3%C8%CB%C3%F1%C3%C0%CA%F5%B3%F6%B0%E6%C9%E7&amp;medium=01&amp;category_path=01.00.00.00.00.00" \t "_blank" </w:instrText>
      </w:r>
      <w:r>
        <w:fldChar w:fldCharType="separate"/>
      </w:r>
      <w:r>
        <w:rPr>
          <w:rFonts w:ascii="宋体" w:hAnsi="宋体"/>
          <w:szCs w:val="21"/>
        </w:rPr>
        <w:t>上海人民美术出版社</w:t>
      </w:r>
      <w:r>
        <w:rPr>
          <w:rFonts w:ascii="宋体" w:hAnsi="宋体"/>
          <w:szCs w:val="21"/>
        </w:rPr>
        <w:fldChar w:fldCharType="end"/>
      </w:r>
      <w:r>
        <w:rPr>
          <w:rFonts w:hint="eastAsia" w:ascii="宋体" w:hAnsi="宋体"/>
          <w:szCs w:val="21"/>
        </w:rPr>
        <w:t>，2019</w:t>
      </w:r>
    </w:p>
    <w:p>
      <w:pPr>
        <w:spacing w:line="360" w:lineRule="auto"/>
        <w:ind w:left="840" w:leftChars="200" w:hanging="420" w:hangingChars="200"/>
        <w:rPr>
          <w:rFonts w:ascii="宋体" w:hAnsi="宋体"/>
          <w:szCs w:val="21"/>
        </w:rPr>
      </w:pPr>
      <w:r>
        <w:rPr>
          <w:rFonts w:hint="eastAsia" w:ascii="宋体" w:hAnsi="宋体"/>
          <w:szCs w:val="21"/>
        </w:rPr>
        <w:t xml:space="preserve">[4] </w:t>
      </w:r>
      <w:r>
        <w:rPr>
          <w:rFonts w:ascii="宋体" w:hAnsi="宋体"/>
          <w:szCs w:val="21"/>
        </w:rPr>
        <w:t>作者:</w:t>
      </w:r>
      <w:r>
        <w:fldChar w:fldCharType="begin"/>
      </w:r>
      <w:r>
        <w:instrText xml:space="preserve"> HYPERLINK "http://search.dangdang.com/?key2=%D5%C2%BA%EA%D4%F3&amp;medium=01&amp;category_path=01.00.00.00.00.00" \t "_blank" </w:instrText>
      </w:r>
      <w:r>
        <w:fldChar w:fldCharType="separate"/>
      </w:r>
      <w:r>
        <w:rPr>
          <w:rFonts w:ascii="宋体" w:hAnsi="宋体"/>
          <w:szCs w:val="21"/>
        </w:rPr>
        <w:t>章宏泽</w:t>
      </w:r>
      <w:r>
        <w:rPr>
          <w:rFonts w:ascii="宋体" w:hAnsi="宋体"/>
          <w:szCs w:val="21"/>
        </w:rPr>
        <w:fldChar w:fldCharType="end"/>
      </w:r>
      <w:r>
        <w:rPr>
          <w:rFonts w:ascii="宋体" w:hAnsi="宋体"/>
          <w:szCs w:val="21"/>
        </w:rPr>
        <w:t xml:space="preserve"> </w:t>
      </w:r>
      <w:r>
        <w:fldChar w:fldCharType="begin"/>
      </w:r>
      <w:r>
        <w:instrText xml:space="preserve"> HYPERLINK "http://search.dangdang.com/?key2=%BA%CE%D3%F1%C1%AB&amp;medium=01&amp;category_path=01.00.00.00.00.00" \t "_blank" </w:instrText>
      </w:r>
      <w:r>
        <w:fldChar w:fldCharType="separate"/>
      </w:r>
      <w:r>
        <w:rPr>
          <w:rFonts w:ascii="宋体" w:hAnsi="宋体"/>
          <w:szCs w:val="21"/>
        </w:rPr>
        <w:t>何玉莲</w:t>
      </w:r>
      <w:r>
        <w:rPr>
          <w:rFonts w:ascii="宋体" w:hAnsi="宋体"/>
          <w:szCs w:val="21"/>
        </w:rPr>
        <w:fldChar w:fldCharType="end"/>
      </w:r>
      <w:r>
        <w:rPr>
          <w:rFonts w:hint="eastAsia" w:ascii="宋体" w:hAnsi="宋体"/>
          <w:szCs w:val="21"/>
        </w:rPr>
        <w:t>，《</w:t>
      </w:r>
      <w:r>
        <w:rPr>
          <w:rFonts w:ascii="宋体" w:hAnsi="宋体"/>
          <w:szCs w:val="21"/>
        </w:rPr>
        <w:t>环境图形设计——从导视到体验图形</w:t>
      </w:r>
      <w:r>
        <w:rPr>
          <w:rFonts w:hint="eastAsia" w:ascii="宋体" w:hAnsi="宋体"/>
          <w:szCs w:val="21"/>
        </w:rPr>
        <w:t>》，</w:t>
      </w:r>
      <w:r>
        <w:rPr>
          <w:rFonts w:ascii="宋体" w:hAnsi="宋体"/>
          <w:szCs w:val="21"/>
        </w:rPr>
        <w:t xml:space="preserve"> </w:t>
      </w:r>
      <w:r>
        <w:fldChar w:fldCharType="begin"/>
      </w:r>
      <w:r>
        <w:instrText xml:space="preserve"> HYPERLINK "http://search.dangdang.com/?key3=%D6%D0%B9%FA%B5%E7%C1%A6%B3%F6%B0%E6%C9%E7&amp;medium=01&amp;category_path=01.00.00.00.00.00" \t "_blank" </w:instrText>
      </w:r>
      <w:r>
        <w:fldChar w:fldCharType="separate"/>
      </w:r>
      <w:r>
        <w:rPr>
          <w:rFonts w:ascii="宋体" w:hAnsi="宋体"/>
          <w:szCs w:val="21"/>
        </w:rPr>
        <w:t>中国电力出版社</w:t>
      </w:r>
      <w:r>
        <w:rPr>
          <w:rFonts w:ascii="宋体" w:hAnsi="宋体"/>
          <w:szCs w:val="21"/>
        </w:rPr>
        <w:fldChar w:fldCharType="end"/>
      </w:r>
      <w:r>
        <w:rPr>
          <w:rFonts w:hint="eastAsia" w:ascii="宋体" w:hAnsi="宋体"/>
          <w:szCs w:val="21"/>
        </w:rPr>
        <w:t xml:space="preserve">，2019    </w:t>
      </w:r>
    </w:p>
    <w:p>
      <w:pPr>
        <w:spacing w:line="360" w:lineRule="auto"/>
        <w:ind w:firstLine="422" w:firstLineChars="201"/>
        <w:rPr>
          <w:rFonts w:ascii="宋体" w:hAnsi="宋体"/>
          <w:szCs w:val="21"/>
        </w:rPr>
      </w:pPr>
      <w:r>
        <w:rPr>
          <w:rFonts w:hint="eastAsia" w:ascii="宋体" w:hAnsi="宋体"/>
          <w:szCs w:val="21"/>
        </w:rPr>
        <w:t>2、推荐网站：</w:t>
      </w:r>
    </w:p>
    <w:p>
      <w:pPr>
        <w:spacing w:line="360" w:lineRule="auto"/>
        <w:ind w:firstLine="422" w:firstLineChars="201"/>
        <w:rPr>
          <w:rFonts w:ascii="宋体" w:hAnsi="宋体"/>
          <w:szCs w:val="21"/>
        </w:rPr>
      </w:pPr>
      <w:r>
        <w:rPr>
          <w:rFonts w:ascii="宋体" w:hAnsi="宋体"/>
          <w:szCs w:val="21"/>
        </w:rPr>
        <w:t>[1]</w:t>
      </w:r>
      <w:r>
        <w:rPr>
          <w:rFonts w:hint="eastAsia" w:ascii="宋体" w:hAnsi="宋体"/>
          <w:szCs w:val="21"/>
        </w:rPr>
        <w:tab/>
      </w:r>
      <w:r>
        <w:rPr>
          <w:rFonts w:hint="eastAsia" w:ascii="宋体" w:hAnsi="宋体"/>
          <w:szCs w:val="21"/>
        </w:rPr>
        <w:t>淘特网  http://www.tot.name</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2</w:t>
      </w:r>
      <w:r>
        <w:rPr>
          <w:rFonts w:ascii="宋体" w:hAnsi="宋体"/>
          <w:szCs w:val="21"/>
        </w:rPr>
        <w:t>]</w:t>
      </w:r>
      <w:r>
        <w:rPr>
          <w:rFonts w:hint="eastAsia" w:ascii="宋体" w:hAnsi="宋体"/>
          <w:szCs w:val="21"/>
        </w:rPr>
        <w:tab/>
      </w:r>
      <w:r>
        <w:rPr>
          <w:rFonts w:hint="eastAsia" w:ascii="宋体" w:hAnsi="宋体"/>
          <w:szCs w:val="21"/>
        </w:rPr>
        <w:t>设计在线中国 http://www.dolcn.com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ab/>
      </w:r>
      <w:r>
        <w:rPr>
          <w:rFonts w:hint="eastAsia" w:ascii="宋体" w:hAnsi="宋体"/>
          <w:szCs w:val="21"/>
        </w:rPr>
        <w:t>创意图库（TUKU） http://tu.arting365.com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ab/>
      </w:r>
      <w:r>
        <w:rPr>
          <w:rFonts w:hint="eastAsia" w:ascii="宋体" w:hAnsi="宋体"/>
          <w:szCs w:val="21"/>
        </w:rPr>
        <w:t>国外网站 http://www.deviantart.com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szCs w:val="21"/>
        </w:rPr>
        <w:tab/>
      </w:r>
      <w:r>
        <w:rPr>
          <w:rFonts w:hint="eastAsia" w:ascii="宋体" w:hAnsi="宋体"/>
          <w:szCs w:val="21"/>
        </w:rPr>
        <w:t>国外网站 http://www.fotocommunity.com/digiart</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6</w:t>
      </w:r>
      <w:r>
        <w:rPr>
          <w:rFonts w:ascii="宋体" w:hAnsi="宋体"/>
          <w:szCs w:val="21"/>
        </w:rPr>
        <w:t>]</w:t>
      </w:r>
      <w:r>
        <w:rPr>
          <w:rFonts w:hint="eastAsia" w:ascii="宋体" w:hAnsi="宋体"/>
          <w:szCs w:val="21"/>
        </w:rPr>
        <w:tab/>
      </w:r>
      <w:r>
        <w:rPr>
          <w:rFonts w:hint="eastAsia" w:ascii="宋体" w:hAnsi="宋体"/>
          <w:szCs w:val="21"/>
        </w:rPr>
        <w:t>视觉中国 http://www.visualchina.com</w:t>
      </w:r>
    </w:p>
    <w:p>
      <w:pPr>
        <w:spacing w:line="360" w:lineRule="auto"/>
        <w:ind w:firstLine="565" w:firstLineChars="201"/>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adjustRightInd w:val="0"/>
        <w:snapToGrid w:val="0"/>
        <w:spacing w:line="360" w:lineRule="auto"/>
        <w:ind w:firstLine="420" w:firstLineChars="200"/>
        <w:rPr>
          <w:rFonts w:ascii="宋体" w:hAnsi="宋体"/>
          <w:szCs w:val="21"/>
        </w:rPr>
      </w:pPr>
      <w:r>
        <w:rPr>
          <w:rFonts w:hint="eastAsia" w:ascii="宋体" w:hAnsi="宋体"/>
          <w:szCs w:val="21"/>
        </w:rPr>
        <w:t>1.期末考试形式：随堂考核（大作业）</w:t>
      </w:r>
    </w:p>
    <w:p>
      <w:pPr>
        <w:adjustRightInd w:val="0"/>
        <w:snapToGrid w:val="0"/>
        <w:spacing w:line="360" w:lineRule="auto"/>
        <w:ind w:firstLine="420" w:firstLineChars="200"/>
        <w:rPr>
          <w:rFonts w:ascii="宋体" w:hAnsi="宋体"/>
          <w:szCs w:val="21"/>
        </w:rPr>
      </w:pPr>
      <w:r>
        <w:rPr>
          <w:rFonts w:hint="eastAsia" w:ascii="宋体" w:hAnsi="宋体"/>
          <w:szCs w:val="21"/>
        </w:rPr>
        <w:t>2.平时成绩构成比例：平时作业60%；考勤与课堂提问40%。</w:t>
      </w:r>
    </w:p>
    <w:p>
      <w:pPr>
        <w:adjustRightInd w:val="0"/>
        <w:snapToGrid w:val="0"/>
        <w:spacing w:line="360" w:lineRule="auto"/>
        <w:ind w:firstLine="420" w:firstLineChars="200"/>
        <w:rPr>
          <w:rFonts w:ascii="宋体" w:hAnsi="宋体"/>
          <w:szCs w:val="21"/>
        </w:rPr>
      </w:pPr>
      <w:r>
        <w:rPr>
          <w:rFonts w:hint="eastAsia" w:ascii="宋体" w:hAnsi="宋体"/>
          <w:szCs w:val="21"/>
        </w:rPr>
        <w:t>3.课程成绩构成：平时成绩 40%；期末考试成绩60%。</w:t>
      </w:r>
    </w:p>
    <w:p>
      <w:pPr>
        <w:adjustRightInd w:val="0"/>
        <w:snapToGrid w:val="0"/>
        <w:spacing w:line="360" w:lineRule="auto"/>
        <w:ind w:firstLine="420" w:firstLineChars="200"/>
        <w:rPr>
          <w:rFonts w:ascii="宋体" w:hAnsi="宋体"/>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adjustRightInd w:val="0"/>
        <w:snapToGrid w:val="0"/>
        <w:spacing w:line="360" w:lineRule="auto"/>
        <w:ind w:firstLine="562" w:firstLineChars="200"/>
        <w:jc w:val="center"/>
        <w:rPr>
          <w:rFonts w:eastAsia="黑体"/>
          <w:b/>
          <w:bCs/>
          <w:sz w:val="28"/>
        </w:rPr>
      </w:pPr>
      <w:r>
        <w:rPr>
          <w:rFonts w:hint="eastAsia" w:eastAsia="黑体"/>
          <w:b/>
          <w:bCs/>
          <w:sz w:val="28"/>
        </w:rPr>
        <w:t>第一章  健康导向的城市绿色空间设计</w:t>
      </w:r>
    </w:p>
    <w:p>
      <w:pPr>
        <w:jc w:val="center"/>
        <w:rPr>
          <w:rFonts w:eastAsia="黑体"/>
          <w:b/>
          <w:bCs/>
          <w:sz w:val="28"/>
        </w:rPr>
      </w:pPr>
    </w:p>
    <w:p>
      <w:pPr>
        <w:rPr>
          <w:rFonts w:eastAsia="黑体"/>
          <w:bCs/>
        </w:rPr>
      </w:pPr>
      <w:r>
        <w:rPr>
          <w:rFonts w:hint="eastAsia" w:ascii="黑体" w:hAnsi="宋体" w:eastAsia="黑体"/>
          <w:b/>
        </w:rPr>
        <w:t>【本章教学目的和要求】</w:t>
      </w:r>
      <w:r>
        <w:rPr>
          <w:rFonts w:hint="eastAsia" w:eastAsia="黑体"/>
          <w:bCs/>
        </w:rPr>
        <w:t>：</w:t>
      </w:r>
    </w:p>
    <w:p>
      <w:pPr>
        <w:adjustRightInd w:val="0"/>
        <w:snapToGrid w:val="0"/>
        <w:spacing w:line="360" w:lineRule="auto"/>
        <w:ind w:firstLine="420" w:firstLineChars="200"/>
        <w:rPr>
          <w:rFonts w:ascii="宋体" w:hAnsi="宋体"/>
          <w:bCs/>
        </w:rPr>
      </w:pPr>
      <w:r>
        <w:rPr>
          <w:rFonts w:hint="eastAsia" w:ascii="宋体" w:hAnsi="宋体"/>
          <w:bCs/>
        </w:rPr>
        <w:t>通过本章学习使得学生能够在理解健康中国战略的基础上探索城市绿色空间设计的新方法、新手段、新材料。</w:t>
      </w:r>
      <w:r>
        <w:rPr>
          <w:rFonts w:ascii="宋体" w:hAnsi="宋体"/>
          <w:bCs/>
        </w:rPr>
        <w:t xml:space="preserve"> </w:t>
      </w:r>
    </w:p>
    <w:p>
      <w:pPr>
        <w:adjustRightInd w:val="0"/>
        <w:snapToGrid w:val="0"/>
        <w:spacing w:line="360" w:lineRule="auto"/>
        <w:ind w:firstLine="562" w:firstLineChars="200"/>
        <w:jc w:val="center"/>
        <w:rPr>
          <w:rFonts w:eastAsia="黑体"/>
          <w:b/>
          <w:bCs/>
          <w:sz w:val="28"/>
        </w:rPr>
      </w:pPr>
      <w:r>
        <w:rPr>
          <w:rFonts w:hint="eastAsia" w:eastAsia="黑体"/>
          <w:b/>
          <w:bCs/>
          <w:sz w:val="28"/>
        </w:rPr>
        <w:t>第一节  健康中国战略</w:t>
      </w:r>
    </w:p>
    <w:p>
      <w:pPr>
        <w:jc w:val="center"/>
        <w:rPr>
          <w:rFonts w:eastAsia="黑体"/>
          <w:b/>
          <w:bCs/>
          <w:sz w:val="28"/>
        </w:rPr>
      </w:pPr>
      <w:r>
        <w:rPr>
          <w:rFonts w:hint="eastAsia" w:eastAsia="黑体"/>
          <w:b/>
          <w:bCs/>
          <w:sz w:val="28"/>
        </w:rPr>
        <w:t>第二节  健康导向下的新生活方式</w:t>
      </w:r>
    </w:p>
    <w:p>
      <w:pPr>
        <w:rPr>
          <w:rFonts w:eastAsia="黑体"/>
          <w:bCs/>
        </w:rPr>
      </w:pPr>
      <w:r>
        <w:rPr>
          <w:rFonts w:hint="eastAsia" w:ascii="黑体" w:hAnsi="宋体" w:eastAsia="黑体"/>
          <w:b/>
        </w:rPr>
        <w:t>【教学内容】</w:t>
      </w:r>
    </w:p>
    <w:p>
      <w:pPr>
        <w:adjustRightInd w:val="0"/>
        <w:snapToGrid w:val="0"/>
        <w:spacing w:line="360" w:lineRule="auto"/>
        <w:ind w:firstLine="420" w:firstLineChars="200"/>
        <w:rPr>
          <w:rFonts w:ascii="宋体" w:hAnsi="宋体"/>
          <w:bCs/>
        </w:rPr>
      </w:pPr>
      <w:r>
        <w:rPr>
          <w:rFonts w:hint="eastAsia" w:ascii="宋体" w:hAnsi="宋体"/>
          <w:bCs/>
        </w:rPr>
        <w:t>一、健康住宅</w:t>
      </w:r>
    </w:p>
    <w:p>
      <w:pPr>
        <w:adjustRightInd w:val="0"/>
        <w:snapToGrid w:val="0"/>
        <w:spacing w:line="360" w:lineRule="auto"/>
        <w:ind w:firstLine="420" w:firstLineChars="200"/>
        <w:rPr>
          <w:rFonts w:ascii="宋体" w:hAnsi="宋体"/>
          <w:bCs/>
        </w:rPr>
      </w:pPr>
      <w:r>
        <w:rPr>
          <w:rFonts w:hint="eastAsia" w:ascii="宋体" w:hAnsi="宋体"/>
          <w:bCs/>
        </w:rPr>
        <w:t>二、康体公园</w:t>
      </w:r>
    </w:p>
    <w:p>
      <w:pPr>
        <w:adjustRightInd w:val="0"/>
        <w:snapToGrid w:val="0"/>
        <w:spacing w:line="360" w:lineRule="auto"/>
        <w:ind w:firstLine="420" w:firstLineChars="200"/>
        <w:rPr>
          <w:rFonts w:ascii="宋体" w:hAnsi="宋体"/>
          <w:bCs/>
        </w:rPr>
      </w:pPr>
    </w:p>
    <w:p>
      <w:pPr>
        <w:jc w:val="center"/>
        <w:rPr>
          <w:rFonts w:eastAsia="黑体"/>
          <w:b/>
          <w:bCs/>
          <w:sz w:val="28"/>
        </w:rPr>
      </w:pPr>
      <w:r>
        <w:rPr>
          <w:rFonts w:hint="eastAsia" w:eastAsia="黑体"/>
          <w:b/>
          <w:bCs/>
          <w:sz w:val="28"/>
        </w:rPr>
        <w:t>第三节  新生活方式下的绿色空间设计</w:t>
      </w:r>
    </w:p>
    <w:p>
      <w:pPr>
        <w:rPr>
          <w:rFonts w:eastAsia="黑体"/>
          <w:bCs/>
        </w:rPr>
      </w:pPr>
      <w:r>
        <w:rPr>
          <w:rFonts w:hint="eastAsia" w:ascii="黑体" w:hAnsi="宋体" w:eastAsia="黑体"/>
          <w:b/>
        </w:rPr>
        <w:t>【教学内容】</w:t>
      </w:r>
    </w:p>
    <w:p>
      <w:pPr>
        <w:adjustRightInd w:val="0"/>
        <w:snapToGrid w:val="0"/>
        <w:spacing w:line="360" w:lineRule="auto"/>
        <w:ind w:firstLine="420" w:firstLineChars="200"/>
        <w:rPr>
          <w:rFonts w:ascii="宋体" w:hAnsi="宋体"/>
          <w:bCs/>
        </w:rPr>
      </w:pPr>
      <w:r>
        <w:rPr>
          <w:rFonts w:hint="eastAsia" w:ascii="宋体" w:hAnsi="宋体"/>
          <w:bCs/>
        </w:rPr>
        <w:t>一、绿色住宅</w:t>
      </w:r>
    </w:p>
    <w:p>
      <w:pPr>
        <w:adjustRightInd w:val="0"/>
        <w:snapToGrid w:val="0"/>
        <w:spacing w:line="360" w:lineRule="auto"/>
        <w:ind w:firstLine="420" w:firstLineChars="200"/>
        <w:rPr>
          <w:rFonts w:ascii="宋体" w:hAnsi="宋体"/>
          <w:bCs/>
        </w:rPr>
      </w:pPr>
      <w:r>
        <w:rPr>
          <w:rFonts w:hint="eastAsia" w:ascii="宋体" w:hAnsi="宋体"/>
          <w:bCs/>
        </w:rPr>
        <w:t>二、绿色公园</w:t>
      </w:r>
    </w:p>
    <w:p>
      <w:pPr>
        <w:adjustRightInd w:val="0"/>
        <w:snapToGrid w:val="0"/>
        <w:spacing w:line="360" w:lineRule="auto"/>
        <w:ind w:firstLine="420" w:firstLineChars="200"/>
        <w:rPr>
          <w:rFonts w:ascii="宋体" w:hAnsi="宋体"/>
          <w:bCs/>
        </w:rPr>
      </w:pPr>
      <w:r>
        <w:rPr>
          <w:rFonts w:hint="eastAsia" w:ascii="宋体" w:hAnsi="宋体"/>
          <w:bCs/>
        </w:rPr>
        <w:t>三、绿色产品</w:t>
      </w:r>
      <w:r>
        <w:rPr>
          <w:rFonts w:ascii="宋体" w:hAnsi="宋体"/>
          <w:bCs/>
        </w:rPr>
        <w:t xml:space="preserve"> </w:t>
      </w:r>
    </w:p>
    <w:p>
      <w:pPr>
        <w:adjustRightInd w:val="0"/>
        <w:snapToGrid w:val="0"/>
        <w:spacing w:line="360" w:lineRule="auto"/>
        <w:ind w:firstLine="420" w:firstLineChars="200"/>
        <w:rPr>
          <w:rFonts w:ascii="宋体" w:hAnsi="宋体"/>
          <w:bCs/>
        </w:rPr>
      </w:pPr>
    </w:p>
    <w:p>
      <w:pPr>
        <w:adjustRightInd w:val="0"/>
        <w:snapToGrid w:val="0"/>
        <w:spacing w:line="360" w:lineRule="auto"/>
        <w:rPr>
          <w:rFonts w:ascii="黑体" w:hAnsi="宋体" w:eastAsia="黑体"/>
          <w:b/>
        </w:rPr>
      </w:pPr>
      <w:r>
        <w:rPr>
          <w:rFonts w:hint="eastAsia" w:ascii="黑体" w:hAnsi="宋体" w:eastAsia="黑体"/>
          <w:b/>
        </w:rPr>
        <w:t>【本章重点、难点】</w:t>
      </w:r>
    </w:p>
    <w:p>
      <w:pPr>
        <w:adjustRightInd w:val="0"/>
        <w:snapToGrid w:val="0"/>
        <w:spacing w:line="360" w:lineRule="auto"/>
        <w:rPr>
          <w:rFonts w:ascii="黑体" w:hAnsi="宋体" w:eastAsia="黑体"/>
          <w:b/>
        </w:rPr>
      </w:pPr>
      <w:r>
        <w:rPr>
          <w:rFonts w:hint="eastAsia" w:ascii="宋体" w:hAnsi="宋体"/>
          <w:bCs/>
        </w:rPr>
        <w:t>重点：理解健康中国战略，健康导向下的生活方式的改变</w:t>
      </w:r>
    </w:p>
    <w:p>
      <w:pPr>
        <w:adjustRightInd w:val="0"/>
        <w:snapToGrid w:val="0"/>
        <w:spacing w:line="360" w:lineRule="auto"/>
        <w:rPr>
          <w:rFonts w:ascii="宋体" w:hAnsi="宋体"/>
          <w:bCs/>
        </w:rPr>
      </w:pPr>
      <w:r>
        <w:rPr>
          <w:rFonts w:hint="eastAsia" w:ascii="宋体" w:hAnsi="宋体"/>
          <w:bCs/>
        </w:rPr>
        <w:t>难点：新生活方式下的绿色空间设计的原则及方法</w:t>
      </w:r>
    </w:p>
    <w:p>
      <w:pPr>
        <w:jc w:val="center"/>
        <w:rPr>
          <w:rFonts w:eastAsia="黑体"/>
          <w:b/>
          <w:bCs/>
          <w:sz w:val="28"/>
        </w:rPr>
      </w:pPr>
      <w:r>
        <w:rPr>
          <w:rFonts w:hint="eastAsia" w:eastAsia="黑体"/>
          <w:b/>
          <w:bCs/>
          <w:sz w:val="28"/>
        </w:rPr>
        <w:t>第二章  环保生活方式下的行为引导性设计</w:t>
      </w:r>
    </w:p>
    <w:p>
      <w:pPr>
        <w:rPr>
          <w:rFonts w:ascii="黑体" w:hAnsi="宋体" w:eastAsia="黑体"/>
          <w:b/>
        </w:rPr>
      </w:pPr>
      <w:r>
        <w:rPr>
          <w:rFonts w:hint="eastAsia" w:ascii="黑体" w:hAnsi="宋体" w:eastAsia="黑体"/>
          <w:b/>
        </w:rPr>
        <w:t>【本章教学目的和要求】：</w:t>
      </w:r>
    </w:p>
    <w:p>
      <w:pPr>
        <w:adjustRightInd w:val="0"/>
        <w:snapToGrid w:val="0"/>
        <w:spacing w:line="360" w:lineRule="auto"/>
        <w:ind w:firstLine="420" w:firstLineChars="200"/>
        <w:rPr>
          <w:rFonts w:ascii="宋体" w:hAnsi="宋体"/>
          <w:bCs/>
        </w:rPr>
      </w:pPr>
      <w:r>
        <w:rPr>
          <w:rFonts w:hint="eastAsia" w:ascii="宋体" w:hAnsi="宋体"/>
          <w:bCs/>
        </w:rPr>
        <w:t>通过本章学习让学生以健康、高品质的生活方式作为出发点提出自己的观点，在健康环保生活方式下的各产业引导性设计的改变。要求学生能够以实例出发进行分析探索。</w:t>
      </w:r>
    </w:p>
    <w:p>
      <w:pPr>
        <w:jc w:val="center"/>
        <w:rPr>
          <w:rFonts w:eastAsia="黑体"/>
          <w:b/>
          <w:bCs/>
          <w:sz w:val="28"/>
        </w:rPr>
      </w:pPr>
      <w:r>
        <w:rPr>
          <w:rFonts w:hint="eastAsia" w:eastAsia="黑体"/>
          <w:b/>
          <w:bCs/>
          <w:sz w:val="28"/>
        </w:rPr>
        <w:t>第一节   垃圾分类时代下的新生活方式</w:t>
      </w:r>
    </w:p>
    <w:p>
      <w:pPr>
        <w:rPr>
          <w:rFonts w:ascii="黑体" w:hAnsi="宋体" w:eastAsia="黑体"/>
          <w:b/>
        </w:rPr>
      </w:pPr>
      <w:r>
        <w:rPr>
          <w:rFonts w:hint="eastAsia" w:ascii="黑体" w:hAnsi="宋体" w:eastAsia="黑体"/>
          <w:b/>
        </w:rPr>
        <w:t>【教学内容】</w:t>
      </w:r>
    </w:p>
    <w:p>
      <w:pPr>
        <w:numPr>
          <w:ilvl w:val="0"/>
          <w:numId w:val="1"/>
        </w:numPr>
        <w:adjustRightInd w:val="0"/>
        <w:snapToGrid w:val="0"/>
        <w:spacing w:line="360" w:lineRule="auto"/>
        <w:ind w:firstLine="420" w:firstLineChars="200"/>
        <w:rPr>
          <w:rFonts w:ascii="宋体" w:hAnsi="宋体"/>
          <w:szCs w:val="21"/>
        </w:rPr>
      </w:pPr>
      <w:r>
        <w:rPr>
          <w:rFonts w:hint="eastAsia" w:ascii="宋体" w:hAnsi="宋体"/>
          <w:szCs w:val="21"/>
        </w:rPr>
        <w:t>垃圾分类时代</w:t>
      </w:r>
    </w:p>
    <w:p>
      <w:pPr>
        <w:numPr>
          <w:ilvl w:val="0"/>
          <w:numId w:val="1"/>
        </w:numPr>
        <w:adjustRightInd w:val="0"/>
        <w:snapToGrid w:val="0"/>
        <w:spacing w:line="360" w:lineRule="auto"/>
        <w:ind w:firstLine="420" w:firstLineChars="200"/>
        <w:rPr>
          <w:rFonts w:ascii="宋体" w:hAnsi="宋体"/>
          <w:szCs w:val="21"/>
        </w:rPr>
      </w:pPr>
      <w:r>
        <w:rPr>
          <w:rFonts w:hint="eastAsia" w:ascii="宋体" w:hAnsi="宋体"/>
          <w:szCs w:val="21"/>
        </w:rPr>
        <w:t>垃圾分类对生活方式的改变</w:t>
      </w:r>
    </w:p>
    <w:p>
      <w:pPr>
        <w:jc w:val="center"/>
        <w:rPr>
          <w:rFonts w:eastAsia="黑体"/>
          <w:b/>
          <w:bCs/>
          <w:sz w:val="28"/>
        </w:rPr>
      </w:pPr>
      <w:r>
        <w:rPr>
          <w:rFonts w:hint="eastAsia" w:eastAsia="黑体"/>
          <w:b/>
          <w:bCs/>
          <w:sz w:val="28"/>
        </w:rPr>
        <w:t>第二节  产品引导用户行为的设计</w:t>
      </w:r>
    </w:p>
    <w:p>
      <w:pPr>
        <w:rPr>
          <w:rFonts w:ascii="黑体" w:hAnsi="宋体" w:eastAsia="黑体"/>
          <w:b/>
        </w:rPr>
      </w:pPr>
      <w:r>
        <w:rPr>
          <w:rFonts w:hint="eastAsia" w:ascii="黑体" w:hAnsi="宋体" w:eastAsia="黑体"/>
          <w:b/>
        </w:rPr>
        <w:t>【教学内容】</w:t>
      </w:r>
    </w:p>
    <w:p>
      <w:pPr>
        <w:pStyle w:val="11"/>
        <w:numPr>
          <w:ilvl w:val="0"/>
          <w:numId w:val="2"/>
        </w:numPr>
        <w:adjustRightInd w:val="0"/>
        <w:snapToGrid w:val="0"/>
        <w:spacing w:line="360" w:lineRule="auto"/>
        <w:ind w:firstLineChars="0"/>
        <w:rPr>
          <w:rFonts w:ascii="宋体" w:hAnsi="宋体"/>
          <w:szCs w:val="21"/>
        </w:rPr>
      </w:pPr>
      <w:r>
        <w:rPr>
          <w:rFonts w:hint="eastAsia" w:ascii="宋体" w:hAnsi="宋体"/>
          <w:szCs w:val="21"/>
        </w:rPr>
        <w:t>引导行为</w:t>
      </w:r>
    </w:p>
    <w:p>
      <w:pPr>
        <w:pStyle w:val="11"/>
        <w:numPr>
          <w:ilvl w:val="0"/>
          <w:numId w:val="2"/>
        </w:numPr>
        <w:adjustRightInd w:val="0"/>
        <w:snapToGrid w:val="0"/>
        <w:spacing w:line="360" w:lineRule="auto"/>
        <w:ind w:firstLineChars="0"/>
        <w:rPr>
          <w:rFonts w:ascii="宋体" w:hAnsi="宋体"/>
          <w:szCs w:val="21"/>
        </w:rPr>
      </w:pPr>
      <w:r>
        <w:rPr>
          <w:rFonts w:hint="eastAsia" w:ascii="宋体" w:hAnsi="宋体"/>
          <w:szCs w:val="21"/>
        </w:rPr>
        <w:t>通过产品设计引导用户行为</w:t>
      </w:r>
    </w:p>
    <w:p>
      <w:pPr>
        <w:pStyle w:val="11"/>
        <w:numPr>
          <w:ilvl w:val="0"/>
          <w:numId w:val="2"/>
        </w:numPr>
        <w:adjustRightInd w:val="0"/>
        <w:snapToGrid w:val="0"/>
        <w:spacing w:line="360" w:lineRule="auto"/>
        <w:ind w:firstLineChars="0"/>
        <w:rPr>
          <w:rFonts w:ascii="宋体" w:hAnsi="宋体"/>
          <w:szCs w:val="21"/>
        </w:rPr>
      </w:pPr>
      <w:r>
        <w:rPr>
          <w:rFonts w:hint="eastAsia" w:ascii="宋体" w:hAnsi="宋体"/>
          <w:szCs w:val="21"/>
        </w:rPr>
        <w:t>引起用户行为的发生或改变的因素</w:t>
      </w:r>
    </w:p>
    <w:p>
      <w:pPr>
        <w:pStyle w:val="11"/>
        <w:numPr>
          <w:ilvl w:val="0"/>
          <w:numId w:val="2"/>
        </w:numPr>
        <w:adjustRightInd w:val="0"/>
        <w:snapToGrid w:val="0"/>
        <w:spacing w:line="360" w:lineRule="auto"/>
        <w:ind w:firstLineChars="0"/>
        <w:rPr>
          <w:rFonts w:ascii="宋体" w:hAnsi="宋体"/>
          <w:szCs w:val="21"/>
        </w:rPr>
      </w:pPr>
      <w:r>
        <w:rPr>
          <w:rFonts w:hint="eastAsia" w:ascii="宋体" w:hAnsi="宋体"/>
          <w:szCs w:val="21"/>
        </w:rPr>
        <w:t>实例分析</w:t>
      </w:r>
    </w:p>
    <w:p>
      <w:pPr>
        <w:adjustRightInd w:val="0"/>
        <w:snapToGrid w:val="0"/>
        <w:spacing w:line="360" w:lineRule="auto"/>
        <w:rPr>
          <w:rFonts w:ascii="黑体" w:hAnsi="宋体" w:eastAsia="黑体"/>
          <w:b/>
        </w:rPr>
      </w:pPr>
      <w:r>
        <w:rPr>
          <w:rFonts w:hint="eastAsia" w:ascii="黑体" w:hAnsi="宋体" w:eastAsia="黑体"/>
          <w:b/>
        </w:rPr>
        <w:t>【本章重点、难点】</w:t>
      </w:r>
    </w:p>
    <w:p>
      <w:pPr>
        <w:adjustRightInd w:val="0"/>
        <w:snapToGrid w:val="0"/>
        <w:spacing w:line="360" w:lineRule="auto"/>
        <w:ind w:firstLine="420" w:firstLineChars="200"/>
        <w:rPr>
          <w:rFonts w:ascii="宋体" w:hAnsi="宋体"/>
          <w:bCs/>
        </w:rPr>
      </w:pPr>
      <w:r>
        <w:rPr>
          <w:rFonts w:hint="eastAsia" w:ascii="宋体" w:hAnsi="宋体"/>
          <w:bCs/>
        </w:rPr>
        <w:t>环保生活方式的改变，引导行为</w:t>
      </w:r>
    </w:p>
    <w:p>
      <w:pPr>
        <w:spacing w:before="156" w:beforeLines="50" w:after="156" w:afterLines="50"/>
        <w:jc w:val="center"/>
        <w:rPr>
          <w:rFonts w:eastAsia="黑体"/>
          <w:b/>
          <w:bCs/>
          <w:sz w:val="28"/>
        </w:rPr>
      </w:pPr>
      <w:r>
        <w:rPr>
          <w:rFonts w:hint="eastAsia" w:eastAsia="黑体"/>
          <w:b/>
          <w:bCs/>
          <w:sz w:val="28"/>
        </w:rPr>
        <w:t>第三章  体验经济时代下的环境图形设计表现</w:t>
      </w:r>
    </w:p>
    <w:p>
      <w:pPr>
        <w:rPr>
          <w:rFonts w:ascii="黑体" w:hAnsi="宋体" w:eastAsia="黑体"/>
          <w:b/>
        </w:rPr>
      </w:pPr>
      <w:r>
        <w:rPr>
          <w:rFonts w:hint="eastAsia" w:ascii="黑体" w:hAnsi="宋体" w:eastAsia="黑体"/>
          <w:b/>
        </w:rPr>
        <w:t>【本章教学目的和要求】：</w:t>
      </w:r>
    </w:p>
    <w:p>
      <w:pPr>
        <w:adjustRightInd w:val="0"/>
        <w:snapToGrid w:val="0"/>
        <w:spacing w:line="360" w:lineRule="auto"/>
        <w:ind w:firstLine="420" w:firstLineChars="200"/>
        <w:rPr>
          <w:rFonts w:ascii="宋体" w:hAnsi="宋体"/>
          <w:bCs/>
        </w:rPr>
      </w:pPr>
      <w:r>
        <w:rPr>
          <w:rFonts w:hint="eastAsia" w:ascii="宋体" w:hAnsi="宋体"/>
          <w:bCs/>
        </w:rPr>
        <w:t>通过本章学习让学生了解体验经济时代下很多体验发生在诸如购物中心、博物馆等实体空间中，除了室内设计、展示设计、景观设计之外环境图形设计也赋予环境各式各样的独特体验。要求学生通过对环境图形设计的了解探索其在公共空间中的作用。</w:t>
      </w:r>
    </w:p>
    <w:p>
      <w:pPr>
        <w:widowControl/>
        <w:jc w:val="left"/>
        <w:rPr>
          <w:rFonts w:ascii="宋体" w:hAnsi="宋体"/>
          <w:bCs/>
        </w:rPr>
      </w:pPr>
    </w:p>
    <w:p>
      <w:pPr>
        <w:jc w:val="center"/>
        <w:rPr>
          <w:rFonts w:eastAsia="黑体"/>
          <w:b/>
          <w:bCs/>
          <w:sz w:val="28"/>
        </w:rPr>
      </w:pPr>
      <w:r>
        <w:rPr>
          <w:rFonts w:hint="eastAsia" w:eastAsia="黑体"/>
          <w:b/>
          <w:bCs/>
          <w:sz w:val="28"/>
        </w:rPr>
        <w:t>第一节  环境图形的作用</w:t>
      </w:r>
    </w:p>
    <w:p>
      <w:pPr>
        <w:jc w:val="center"/>
        <w:rPr>
          <w:rFonts w:eastAsia="黑体"/>
          <w:b/>
          <w:bCs/>
          <w:sz w:val="28"/>
        </w:rPr>
      </w:pPr>
      <w:r>
        <w:rPr>
          <w:rFonts w:hint="eastAsia" w:eastAsia="黑体"/>
          <w:b/>
          <w:bCs/>
          <w:sz w:val="28"/>
        </w:rPr>
        <w:t>第二节  体验经济时代下的环境图形设计表现形式</w:t>
      </w:r>
    </w:p>
    <w:p>
      <w:pPr>
        <w:rPr>
          <w:rFonts w:ascii="黑体" w:hAnsi="宋体" w:eastAsia="黑体"/>
          <w:b/>
        </w:rPr>
      </w:pPr>
      <w:r>
        <w:rPr>
          <w:rFonts w:hint="eastAsia" w:ascii="黑体" w:hAnsi="宋体" w:eastAsia="黑体"/>
          <w:b/>
        </w:rPr>
        <w:t>【教学内容】</w:t>
      </w:r>
    </w:p>
    <w:p>
      <w:pPr>
        <w:numPr>
          <w:ilvl w:val="0"/>
          <w:numId w:val="3"/>
        </w:numPr>
        <w:spacing w:line="360" w:lineRule="auto"/>
        <w:ind w:firstLine="420" w:firstLineChars="200"/>
        <w:rPr>
          <w:rFonts w:ascii="宋体" w:hAnsi="宋体"/>
          <w:szCs w:val="21"/>
        </w:rPr>
      </w:pPr>
      <w:r>
        <w:rPr>
          <w:rFonts w:hint="eastAsia" w:ascii="宋体" w:hAnsi="宋体"/>
          <w:szCs w:val="21"/>
        </w:rPr>
        <w:t>建筑图形表皮</w:t>
      </w:r>
    </w:p>
    <w:p>
      <w:pPr>
        <w:numPr>
          <w:ilvl w:val="0"/>
          <w:numId w:val="3"/>
        </w:numPr>
        <w:spacing w:line="360" w:lineRule="auto"/>
        <w:ind w:firstLine="420" w:firstLineChars="200"/>
        <w:rPr>
          <w:rFonts w:ascii="宋体" w:hAnsi="宋体"/>
          <w:szCs w:val="21"/>
        </w:rPr>
      </w:pPr>
      <w:r>
        <w:rPr>
          <w:rFonts w:hint="eastAsia" w:ascii="宋体" w:hAnsi="宋体"/>
          <w:szCs w:val="21"/>
        </w:rPr>
        <w:t>地景图形</w:t>
      </w:r>
    </w:p>
    <w:p>
      <w:pPr>
        <w:numPr>
          <w:ilvl w:val="0"/>
          <w:numId w:val="3"/>
        </w:numPr>
        <w:spacing w:line="360" w:lineRule="auto"/>
        <w:ind w:firstLine="420" w:firstLineChars="200"/>
        <w:rPr>
          <w:rFonts w:ascii="宋体" w:hAnsi="宋体"/>
          <w:szCs w:val="21"/>
        </w:rPr>
      </w:pPr>
      <w:r>
        <w:rPr>
          <w:rFonts w:hint="eastAsia" w:ascii="宋体" w:hAnsi="宋体"/>
          <w:szCs w:val="21"/>
        </w:rPr>
        <w:t>环境营造与识别</w:t>
      </w:r>
    </w:p>
    <w:p>
      <w:pPr>
        <w:numPr>
          <w:ilvl w:val="0"/>
          <w:numId w:val="3"/>
        </w:numPr>
        <w:spacing w:line="360" w:lineRule="auto"/>
        <w:ind w:firstLine="420" w:firstLineChars="200"/>
        <w:rPr>
          <w:rFonts w:ascii="宋体" w:hAnsi="宋体"/>
          <w:szCs w:val="21"/>
        </w:rPr>
      </w:pPr>
      <w:r>
        <w:rPr>
          <w:rFonts w:hint="eastAsia" w:ascii="宋体" w:hAnsi="宋体"/>
          <w:szCs w:val="21"/>
        </w:rPr>
        <w:t>导视系统</w:t>
      </w:r>
    </w:p>
    <w:p>
      <w:pPr>
        <w:spacing w:line="360" w:lineRule="auto"/>
        <w:ind w:left="420"/>
        <w:rPr>
          <w:rFonts w:ascii="宋体" w:hAnsi="宋体"/>
          <w:szCs w:val="21"/>
        </w:rPr>
      </w:pPr>
    </w:p>
    <w:p>
      <w:pPr>
        <w:jc w:val="center"/>
        <w:rPr>
          <w:rFonts w:eastAsia="黑体"/>
          <w:b/>
          <w:bCs/>
          <w:sz w:val="28"/>
        </w:rPr>
      </w:pPr>
      <w:r>
        <w:rPr>
          <w:rFonts w:hint="eastAsia" w:eastAsia="黑体"/>
          <w:b/>
          <w:bCs/>
          <w:sz w:val="28"/>
        </w:rPr>
        <w:t>第三节  体验经济时代下的环境图形设计要素</w:t>
      </w:r>
    </w:p>
    <w:p>
      <w:pPr>
        <w:rPr>
          <w:rFonts w:ascii="黑体" w:hAnsi="宋体" w:eastAsia="黑体"/>
          <w:b/>
        </w:rPr>
      </w:pPr>
      <w:r>
        <w:rPr>
          <w:rFonts w:hint="eastAsia" w:ascii="黑体" w:hAnsi="宋体" w:eastAsia="黑体"/>
          <w:b/>
        </w:rPr>
        <w:t>【教学内容】</w:t>
      </w:r>
    </w:p>
    <w:p>
      <w:pPr>
        <w:numPr>
          <w:ilvl w:val="0"/>
          <w:numId w:val="4"/>
        </w:numPr>
        <w:spacing w:line="360" w:lineRule="auto"/>
        <w:ind w:firstLine="420"/>
        <w:rPr>
          <w:rFonts w:ascii="宋体" w:hAnsi="宋体"/>
          <w:szCs w:val="21"/>
        </w:rPr>
      </w:pPr>
      <w:r>
        <w:rPr>
          <w:rFonts w:hint="eastAsia" w:ascii="宋体" w:hAnsi="宋体"/>
          <w:szCs w:val="21"/>
        </w:rPr>
        <w:t>用户认知与行为</w:t>
      </w:r>
    </w:p>
    <w:p>
      <w:pPr>
        <w:numPr>
          <w:ilvl w:val="0"/>
          <w:numId w:val="4"/>
        </w:numPr>
        <w:spacing w:line="360" w:lineRule="auto"/>
        <w:ind w:firstLine="420"/>
        <w:rPr>
          <w:rFonts w:ascii="宋体" w:hAnsi="宋体"/>
          <w:szCs w:val="21"/>
        </w:rPr>
      </w:pPr>
      <w:r>
        <w:rPr>
          <w:rFonts w:hint="eastAsia" w:ascii="宋体" w:hAnsi="宋体"/>
          <w:szCs w:val="21"/>
        </w:rPr>
        <w:t>环境空间</w:t>
      </w:r>
    </w:p>
    <w:p>
      <w:pPr>
        <w:numPr>
          <w:ilvl w:val="0"/>
          <w:numId w:val="4"/>
        </w:numPr>
        <w:spacing w:line="360" w:lineRule="auto"/>
        <w:ind w:firstLine="420"/>
        <w:rPr>
          <w:rFonts w:ascii="宋体" w:hAnsi="宋体"/>
          <w:szCs w:val="21"/>
        </w:rPr>
      </w:pPr>
      <w:r>
        <w:rPr>
          <w:rFonts w:hint="eastAsia" w:ascii="宋体" w:hAnsi="宋体"/>
          <w:szCs w:val="21"/>
        </w:rPr>
        <w:t>视觉图形系统</w:t>
      </w:r>
    </w:p>
    <w:p>
      <w:pPr>
        <w:spacing w:line="360" w:lineRule="auto"/>
        <w:ind w:left="420"/>
        <w:rPr>
          <w:rFonts w:ascii="宋体" w:hAnsi="宋体"/>
          <w:szCs w:val="21"/>
        </w:rPr>
      </w:pPr>
    </w:p>
    <w:p>
      <w:pPr>
        <w:adjustRightInd w:val="0"/>
        <w:snapToGrid w:val="0"/>
        <w:spacing w:line="360" w:lineRule="auto"/>
        <w:rPr>
          <w:rFonts w:ascii="黑体" w:hAnsi="宋体" w:eastAsia="黑体"/>
          <w:b/>
        </w:rPr>
      </w:pPr>
      <w:r>
        <w:rPr>
          <w:rFonts w:hint="eastAsia" w:ascii="黑体" w:hAnsi="宋体" w:eastAsia="黑体"/>
          <w:b/>
        </w:rPr>
        <w:t>【本章重点、难点】</w:t>
      </w:r>
    </w:p>
    <w:p>
      <w:pPr>
        <w:adjustRightInd w:val="0"/>
        <w:snapToGrid w:val="0"/>
        <w:spacing w:line="360" w:lineRule="auto"/>
        <w:ind w:firstLine="420" w:firstLineChars="200"/>
        <w:rPr>
          <w:rFonts w:ascii="宋体" w:hAnsi="宋体"/>
          <w:bCs/>
        </w:rPr>
      </w:pPr>
      <w:r>
        <w:rPr>
          <w:rFonts w:hint="eastAsia" w:ascii="宋体" w:hAnsi="宋体"/>
          <w:bCs/>
        </w:rPr>
        <w:t>环境图形的作用与设计要素</w:t>
      </w:r>
    </w:p>
    <w:p>
      <w:pPr>
        <w:adjustRightInd w:val="0"/>
        <w:snapToGrid w:val="0"/>
        <w:spacing w:line="360" w:lineRule="auto"/>
        <w:rPr>
          <w:rFonts w:ascii="宋体" w:hAnsi="宋体"/>
          <w:szCs w:val="21"/>
        </w:rPr>
      </w:pPr>
    </w:p>
    <w:p>
      <w:pPr>
        <w:spacing w:before="156" w:beforeLines="50" w:after="156" w:afterLines="50"/>
        <w:jc w:val="center"/>
        <w:rPr>
          <w:rFonts w:eastAsia="黑体"/>
          <w:b/>
          <w:bCs/>
          <w:sz w:val="28"/>
        </w:rPr>
      </w:pPr>
      <w:r>
        <w:rPr>
          <w:rFonts w:hint="eastAsia" w:eastAsia="黑体"/>
          <w:b/>
          <w:bCs/>
          <w:sz w:val="28"/>
        </w:rPr>
        <w:t>第四章  交互设计在城市公共设施中的应用</w:t>
      </w:r>
    </w:p>
    <w:p>
      <w:pPr>
        <w:rPr>
          <w:rFonts w:ascii="黑体" w:hAnsi="宋体" w:eastAsia="黑体"/>
          <w:b/>
        </w:rPr>
      </w:pPr>
      <w:r>
        <w:rPr>
          <w:rFonts w:hint="eastAsia" w:ascii="黑体" w:hAnsi="宋体" w:eastAsia="黑体"/>
          <w:b/>
        </w:rPr>
        <w:t>【本章教学目的和要求】：</w:t>
      </w:r>
    </w:p>
    <w:p>
      <w:pPr>
        <w:spacing w:line="360" w:lineRule="auto"/>
        <w:rPr>
          <w:rFonts w:ascii="宋体" w:hAnsi="宋体"/>
          <w:szCs w:val="21"/>
        </w:rPr>
      </w:pPr>
      <w:r>
        <w:rPr>
          <w:rFonts w:hint="eastAsia" w:ascii="宋体" w:hAnsi="宋体"/>
          <w:szCs w:val="21"/>
        </w:rPr>
        <w:t xml:space="preserve">   通过本章学习使得学生掌握交互设计在当代城市公设施中发挥何种作用，如何用科技与艺术的手段改变人们的生活方式。要求学生可以用所有知识点探讨传统城市公共设施与交互设计影响下的城市公共设施给城市公民带来的不同影响。</w:t>
      </w:r>
    </w:p>
    <w:p>
      <w:pPr>
        <w:jc w:val="center"/>
        <w:rPr>
          <w:rFonts w:eastAsia="黑体"/>
          <w:b/>
          <w:bCs/>
          <w:sz w:val="28"/>
        </w:rPr>
      </w:pPr>
      <w:r>
        <w:rPr>
          <w:rFonts w:hint="eastAsia" w:eastAsia="黑体"/>
          <w:b/>
          <w:bCs/>
          <w:sz w:val="28"/>
        </w:rPr>
        <w:t>第一节  公交车站公共设施的交互设计</w:t>
      </w:r>
    </w:p>
    <w:p>
      <w:pPr>
        <w:rPr>
          <w:rFonts w:ascii="黑体" w:hAnsi="宋体" w:eastAsia="黑体"/>
          <w:b/>
        </w:rPr>
      </w:pPr>
      <w:r>
        <w:rPr>
          <w:rFonts w:hint="eastAsia" w:ascii="黑体" w:hAnsi="宋体" w:eastAsia="黑体"/>
          <w:b/>
        </w:rPr>
        <w:t>【教学内容】</w:t>
      </w:r>
    </w:p>
    <w:p>
      <w:pPr>
        <w:numPr>
          <w:ilvl w:val="0"/>
          <w:numId w:val="5"/>
        </w:numPr>
        <w:spacing w:line="360" w:lineRule="auto"/>
        <w:ind w:firstLine="422"/>
        <w:rPr>
          <w:rFonts w:ascii="宋体" w:hAnsi="宋体"/>
          <w:szCs w:val="21"/>
        </w:rPr>
      </w:pPr>
      <w:r>
        <w:rPr>
          <w:rFonts w:hint="eastAsia" w:ascii="宋体" w:hAnsi="宋体"/>
          <w:szCs w:val="21"/>
        </w:rPr>
        <w:t>传统公交车站公共设施</w:t>
      </w:r>
    </w:p>
    <w:p>
      <w:pPr>
        <w:numPr>
          <w:ilvl w:val="0"/>
          <w:numId w:val="5"/>
        </w:numPr>
        <w:spacing w:line="360" w:lineRule="auto"/>
        <w:ind w:firstLine="422"/>
        <w:rPr>
          <w:rFonts w:ascii="宋体" w:hAnsi="宋体"/>
          <w:szCs w:val="21"/>
        </w:rPr>
      </w:pPr>
      <w:r>
        <w:rPr>
          <w:rFonts w:hint="eastAsia" w:ascii="宋体" w:hAnsi="宋体"/>
          <w:szCs w:val="21"/>
        </w:rPr>
        <w:t>交互设计在公交车站公共设施中的应用</w:t>
      </w:r>
    </w:p>
    <w:p>
      <w:pPr>
        <w:adjustRightInd w:val="0"/>
        <w:snapToGrid w:val="0"/>
        <w:spacing w:line="360" w:lineRule="auto"/>
        <w:rPr>
          <w:rFonts w:ascii="宋体" w:hAnsi="宋体"/>
          <w:szCs w:val="21"/>
        </w:rPr>
      </w:pPr>
    </w:p>
    <w:p>
      <w:pPr>
        <w:jc w:val="center"/>
        <w:rPr>
          <w:rFonts w:eastAsia="黑体"/>
          <w:b/>
          <w:bCs/>
          <w:sz w:val="28"/>
        </w:rPr>
      </w:pPr>
      <w:r>
        <w:rPr>
          <w:rFonts w:hint="eastAsia" w:eastAsia="黑体"/>
          <w:b/>
          <w:bCs/>
          <w:sz w:val="28"/>
        </w:rPr>
        <w:t>第二节  商业步行街公共设施的交互设计</w:t>
      </w:r>
    </w:p>
    <w:p>
      <w:pPr>
        <w:rPr>
          <w:rFonts w:ascii="黑体" w:hAnsi="宋体" w:eastAsia="黑体"/>
          <w:b/>
        </w:rPr>
      </w:pPr>
      <w:r>
        <w:rPr>
          <w:rFonts w:hint="eastAsia" w:ascii="黑体" w:hAnsi="宋体" w:eastAsia="黑体"/>
          <w:b/>
        </w:rPr>
        <w:t>【教学内容】</w:t>
      </w:r>
    </w:p>
    <w:p>
      <w:pPr>
        <w:numPr>
          <w:ilvl w:val="0"/>
          <w:numId w:val="6"/>
        </w:numPr>
        <w:spacing w:line="360" w:lineRule="auto"/>
        <w:ind w:firstLine="422"/>
        <w:rPr>
          <w:rFonts w:ascii="宋体" w:hAnsi="宋体"/>
          <w:szCs w:val="21"/>
        </w:rPr>
      </w:pPr>
      <w:r>
        <w:rPr>
          <w:rFonts w:hint="eastAsia" w:ascii="宋体" w:hAnsi="宋体"/>
          <w:szCs w:val="21"/>
        </w:rPr>
        <w:t>传统商业步行街公共设施</w:t>
      </w:r>
    </w:p>
    <w:p>
      <w:pPr>
        <w:numPr>
          <w:ilvl w:val="0"/>
          <w:numId w:val="6"/>
        </w:numPr>
        <w:spacing w:line="360" w:lineRule="auto"/>
        <w:ind w:firstLine="422"/>
        <w:rPr>
          <w:rFonts w:ascii="宋体" w:hAnsi="宋体"/>
          <w:szCs w:val="21"/>
        </w:rPr>
      </w:pPr>
      <w:r>
        <w:rPr>
          <w:rFonts w:hint="eastAsia" w:ascii="宋体" w:hAnsi="宋体"/>
          <w:szCs w:val="21"/>
        </w:rPr>
        <w:t>交互设计在商业步行街公共设施中的应用</w:t>
      </w:r>
    </w:p>
    <w:p>
      <w:pPr>
        <w:adjustRightInd w:val="0"/>
        <w:snapToGrid w:val="0"/>
        <w:spacing w:line="360" w:lineRule="auto"/>
        <w:rPr>
          <w:rFonts w:ascii="宋体" w:hAnsi="宋体"/>
          <w:szCs w:val="21"/>
        </w:rPr>
      </w:pPr>
    </w:p>
    <w:p>
      <w:pPr>
        <w:jc w:val="center"/>
        <w:rPr>
          <w:rFonts w:eastAsia="黑体"/>
          <w:b/>
          <w:bCs/>
          <w:sz w:val="28"/>
        </w:rPr>
      </w:pPr>
      <w:r>
        <w:rPr>
          <w:rFonts w:hint="eastAsia" w:eastAsia="黑体"/>
          <w:b/>
          <w:bCs/>
          <w:sz w:val="28"/>
        </w:rPr>
        <w:t>第三节  校园公共公共设施的交互设计</w:t>
      </w:r>
    </w:p>
    <w:p>
      <w:pPr>
        <w:rPr>
          <w:rFonts w:ascii="黑体" w:hAnsi="宋体" w:eastAsia="黑体"/>
          <w:b/>
        </w:rPr>
      </w:pPr>
      <w:r>
        <w:rPr>
          <w:rFonts w:hint="eastAsia" w:ascii="黑体" w:hAnsi="宋体" w:eastAsia="黑体"/>
          <w:b/>
        </w:rPr>
        <w:t>【教学内容】</w:t>
      </w:r>
    </w:p>
    <w:p>
      <w:pPr>
        <w:numPr>
          <w:ilvl w:val="0"/>
          <w:numId w:val="7"/>
        </w:numPr>
        <w:spacing w:line="360" w:lineRule="auto"/>
        <w:ind w:firstLine="422"/>
        <w:rPr>
          <w:rFonts w:ascii="宋体" w:hAnsi="宋体"/>
          <w:szCs w:val="21"/>
        </w:rPr>
      </w:pPr>
      <w:r>
        <w:rPr>
          <w:rFonts w:hint="eastAsia" w:ascii="宋体" w:hAnsi="宋体"/>
          <w:szCs w:val="21"/>
        </w:rPr>
        <w:t>传统校园公共设施</w:t>
      </w:r>
    </w:p>
    <w:p>
      <w:pPr>
        <w:numPr>
          <w:ilvl w:val="0"/>
          <w:numId w:val="7"/>
        </w:numPr>
        <w:spacing w:line="360" w:lineRule="auto"/>
        <w:ind w:firstLine="422"/>
        <w:rPr>
          <w:rFonts w:ascii="宋体" w:hAnsi="宋体"/>
          <w:szCs w:val="21"/>
        </w:rPr>
      </w:pPr>
      <w:r>
        <w:rPr>
          <w:rFonts w:hint="eastAsia" w:ascii="宋体" w:hAnsi="宋体"/>
          <w:szCs w:val="21"/>
        </w:rPr>
        <w:t>交互设计在校园公共设施中的应用</w:t>
      </w:r>
    </w:p>
    <w:p>
      <w:pPr>
        <w:adjustRightInd w:val="0"/>
        <w:snapToGrid w:val="0"/>
        <w:spacing w:line="360" w:lineRule="auto"/>
        <w:rPr>
          <w:rFonts w:ascii="宋体" w:hAnsi="宋体"/>
          <w:szCs w:val="21"/>
        </w:rPr>
      </w:pPr>
    </w:p>
    <w:p>
      <w:pPr>
        <w:adjustRightInd w:val="0"/>
        <w:snapToGrid w:val="0"/>
        <w:spacing w:line="360" w:lineRule="auto"/>
        <w:rPr>
          <w:rFonts w:ascii="黑体" w:hAnsi="宋体" w:eastAsia="黑体"/>
          <w:b/>
        </w:rPr>
      </w:pPr>
      <w:r>
        <w:rPr>
          <w:rFonts w:hint="eastAsia" w:ascii="黑体" w:hAnsi="宋体" w:eastAsia="黑体"/>
          <w:b/>
        </w:rPr>
        <w:t>【本章重点、难点】</w:t>
      </w:r>
    </w:p>
    <w:p>
      <w:pPr>
        <w:adjustRightInd w:val="0"/>
        <w:snapToGrid w:val="0"/>
        <w:spacing w:line="360" w:lineRule="auto"/>
        <w:ind w:firstLine="420" w:firstLineChars="200"/>
        <w:rPr>
          <w:rFonts w:ascii="宋体" w:hAnsi="宋体"/>
          <w:bCs/>
        </w:rPr>
      </w:pPr>
      <w:r>
        <w:rPr>
          <w:rFonts w:hint="eastAsia" w:ascii="宋体" w:hAnsi="宋体"/>
          <w:bCs/>
        </w:rPr>
        <w:t>传统城市公共设施与交互设计影响下的城市公共设施给城市公民带来的不同影响，两者的对比。</w:t>
      </w:r>
    </w:p>
    <w:p>
      <w:pPr>
        <w:rPr>
          <w:rFonts w:ascii="宋体" w:hAnsi="宋体"/>
          <w:szCs w:val="21"/>
        </w:rPr>
      </w:pPr>
    </w:p>
    <w:p>
      <w:pPr>
        <w:jc w:val="center"/>
        <w:rPr>
          <w:rFonts w:eastAsia="黑体"/>
          <w:b/>
          <w:bCs/>
          <w:sz w:val="28"/>
        </w:rPr>
      </w:pPr>
      <w:r>
        <w:rPr>
          <w:rFonts w:hint="eastAsia" w:eastAsia="黑体"/>
          <w:b/>
          <w:bCs/>
          <w:sz w:val="28"/>
        </w:rPr>
        <w:t>第五章  商品消费时代下奢侈品与艺术设计的跨界合作</w:t>
      </w:r>
    </w:p>
    <w:p>
      <w:pPr>
        <w:rPr>
          <w:rFonts w:ascii="黑体" w:hAnsi="宋体" w:eastAsia="黑体"/>
          <w:b/>
        </w:rPr>
      </w:pPr>
      <w:r>
        <w:rPr>
          <w:rFonts w:hint="eastAsia" w:ascii="黑体" w:hAnsi="宋体" w:eastAsia="黑体"/>
          <w:b/>
        </w:rPr>
        <w:t>【本章教学目的和要求】：</w:t>
      </w:r>
    </w:p>
    <w:p>
      <w:pPr>
        <w:adjustRightInd w:val="0"/>
        <w:snapToGrid w:val="0"/>
        <w:spacing w:line="360" w:lineRule="auto"/>
        <w:ind w:firstLine="420" w:firstLineChars="200"/>
        <w:rPr>
          <w:rFonts w:ascii="宋体" w:hAnsi="宋体"/>
          <w:bCs/>
        </w:rPr>
      </w:pPr>
      <w:r>
        <w:rPr>
          <w:rFonts w:hint="eastAsia" w:ascii="宋体" w:hAnsi="宋体"/>
          <w:bCs/>
        </w:rPr>
        <w:t>通过本章学习使得学生了解当代商品消费时代下奢侈品与艺术设计的跨界合作方式，并培养其搜集优秀案例分析的能力。要求学生能够利用所学知识点构架出某一奢侈品与艺术设计如何跨界合作的策划案。</w:t>
      </w:r>
    </w:p>
    <w:p>
      <w:pPr>
        <w:adjustRightInd w:val="0"/>
        <w:snapToGrid w:val="0"/>
        <w:spacing w:line="360" w:lineRule="auto"/>
        <w:rPr>
          <w:rFonts w:ascii="黑体" w:hAnsi="宋体" w:eastAsia="黑体"/>
          <w:b/>
        </w:rPr>
      </w:pPr>
      <w:r>
        <w:rPr>
          <w:rFonts w:hint="eastAsia" w:ascii="黑体" w:hAnsi="宋体" w:eastAsia="黑体"/>
          <w:b/>
        </w:rPr>
        <w:t>【本章重点、难点】</w:t>
      </w:r>
    </w:p>
    <w:p>
      <w:pPr>
        <w:adjustRightInd w:val="0"/>
        <w:snapToGrid w:val="0"/>
        <w:spacing w:line="360" w:lineRule="auto"/>
        <w:ind w:firstLine="420" w:firstLineChars="200"/>
        <w:rPr>
          <w:rFonts w:ascii="宋体" w:hAnsi="宋体"/>
          <w:bCs/>
        </w:rPr>
      </w:pPr>
      <w:r>
        <w:rPr>
          <w:rFonts w:hint="eastAsia" w:ascii="宋体" w:hAnsi="宋体"/>
          <w:bCs/>
        </w:rPr>
        <w:t>重点：如何实现奢侈品与艺术设计的跨界合作</w:t>
      </w:r>
    </w:p>
    <w:p>
      <w:pPr>
        <w:adjustRightInd w:val="0"/>
        <w:snapToGrid w:val="0"/>
        <w:spacing w:line="360" w:lineRule="auto"/>
        <w:ind w:firstLine="420" w:firstLineChars="200"/>
        <w:rPr>
          <w:rFonts w:ascii="宋体" w:hAnsi="宋体"/>
          <w:bCs/>
        </w:rPr>
      </w:pPr>
      <w:r>
        <w:rPr>
          <w:rFonts w:hint="eastAsia" w:ascii="宋体" w:hAnsi="宋体"/>
          <w:bCs/>
        </w:rPr>
        <w:t>难点：如何将奢侈品的品牌概念、产品设计等引入艺术设计，如何用艺术设计的手法去融合奢侈品。</w:t>
      </w:r>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64135" cy="137795"/>
              <wp:effectExtent l="0" t="0" r="0" b="0"/>
              <wp:wrapNone/>
              <wp:docPr id="2" name="文本框 2"/>
              <wp:cNvGraphicFramePr/>
              <a:graphic xmlns:a="http://schemas.openxmlformats.org/drawingml/2006/main">
                <a:graphicData uri="http://schemas.microsoft.com/office/word/2010/wordprocessingShape">
                  <wps:wsp>
                    <wps:cNvSpPr txBox="1"/>
                    <wps:spPr>
                      <a:xfrm>
                        <a:off x="0" y="0"/>
                        <a:ext cx="6413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5.05pt;mso-position-horizontal:center;mso-position-horizontal-relative:margin;mso-wrap-style:none;z-index:251658240;mso-width-relative:page;mso-height-relative:page;" filled="f" stroked="f" coordsize="21600,21600" o:gfxdata="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LD6kd0QAAAAMBAAAPAAAAAAAAAAEAIAAA&#10;ACIAAABkcnMvZG93bnJldi54bWxQSwECFAAUAAAACACHTuJAi3vEjxMCAAAEBAAADgAAAAAAAAAB&#10;ACAAAAAgAQAAZHJzL2Uyb0RvYy54bWxQSwUGAAAAAAYABgBZAQAApQU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51E42"/>
    <w:multiLevelType w:val="singleLevel"/>
    <w:tmpl w:val="18A51E42"/>
    <w:lvl w:ilvl="0" w:tentative="0">
      <w:start w:val="1"/>
      <w:numFmt w:val="chineseCounting"/>
      <w:suff w:val="nothing"/>
      <w:lvlText w:val="%1、"/>
      <w:lvlJc w:val="left"/>
    </w:lvl>
  </w:abstractNum>
  <w:abstractNum w:abstractNumId="1">
    <w:nsid w:val="5995B773"/>
    <w:multiLevelType w:val="singleLevel"/>
    <w:tmpl w:val="5995B773"/>
    <w:lvl w:ilvl="0" w:tentative="0">
      <w:start w:val="1"/>
      <w:numFmt w:val="chineseCounting"/>
      <w:suff w:val="nothing"/>
      <w:lvlText w:val="%1、"/>
      <w:lvlJc w:val="left"/>
    </w:lvl>
  </w:abstractNum>
  <w:abstractNum w:abstractNumId="2">
    <w:nsid w:val="5995C020"/>
    <w:multiLevelType w:val="singleLevel"/>
    <w:tmpl w:val="5995C020"/>
    <w:lvl w:ilvl="0" w:tentative="0">
      <w:start w:val="1"/>
      <w:numFmt w:val="chineseCounting"/>
      <w:suff w:val="nothing"/>
      <w:lvlText w:val="%1、"/>
      <w:lvlJc w:val="left"/>
    </w:lvl>
  </w:abstractNum>
  <w:abstractNum w:abstractNumId="3">
    <w:nsid w:val="633248E8"/>
    <w:multiLevelType w:val="singleLevel"/>
    <w:tmpl w:val="633248E8"/>
    <w:lvl w:ilvl="0" w:tentative="0">
      <w:start w:val="1"/>
      <w:numFmt w:val="chineseCounting"/>
      <w:suff w:val="nothing"/>
      <w:lvlText w:val="%1、"/>
      <w:lvlJc w:val="left"/>
    </w:lvl>
  </w:abstractNum>
  <w:abstractNum w:abstractNumId="4">
    <w:nsid w:val="64CE0B6D"/>
    <w:multiLevelType w:val="singleLevel"/>
    <w:tmpl w:val="64CE0B6D"/>
    <w:lvl w:ilvl="0" w:tentative="0">
      <w:start w:val="1"/>
      <w:numFmt w:val="chineseCounting"/>
      <w:suff w:val="nothing"/>
      <w:lvlText w:val="%1、"/>
      <w:lvlJc w:val="left"/>
    </w:lvl>
  </w:abstractNum>
  <w:abstractNum w:abstractNumId="5">
    <w:nsid w:val="79EE7D88"/>
    <w:multiLevelType w:val="multilevel"/>
    <w:tmpl w:val="79EE7D88"/>
    <w:lvl w:ilvl="0" w:tentative="0">
      <w:start w:val="1"/>
      <w:numFmt w:val="japaneseCounting"/>
      <w:lvlText w:val="%1、"/>
      <w:lvlJc w:val="left"/>
      <w:pPr>
        <w:ind w:left="840" w:hanging="420"/>
      </w:pPr>
      <w:rPr>
        <w:rFonts w:hint="eastAsia"/>
      </w:rPr>
    </w:lvl>
    <w:lvl w:ilvl="1" w:tentative="0">
      <w:start w:val="1"/>
      <w:numFmt w:val="lowerLetter"/>
      <w:lvlText w:val="%2)"/>
      <w:lvlJc w:val="left"/>
      <w:pPr>
        <w:ind w:left="1380" w:hanging="480"/>
      </w:pPr>
    </w:lvl>
    <w:lvl w:ilvl="2" w:tentative="0">
      <w:start w:val="1"/>
      <w:numFmt w:val="lowerRoman"/>
      <w:lvlText w:val="%3."/>
      <w:lvlJc w:val="right"/>
      <w:pPr>
        <w:ind w:left="1860" w:hanging="480"/>
      </w:pPr>
    </w:lvl>
    <w:lvl w:ilvl="3" w:tentative="0">
      <w:start w:val="1"/>
      <w:numFmt w:val="decimal"/>
      <w:lvlText w:val="%4."/>
      <w:lvlJc w:val="left"/>
      <w:pPr>
        <w:ind w:left="2340" w:hanging="480"/>
      </w:pPr>
    </w:lvl>
    <w:lvl w:ilvl="4" w:tentative="0">
      <w:start w:val="1"/>
      <w:numFmt w:val="lowerLetter"/>
      <w:lvlText w:val="%5)"/>
      <w:lvlJc w:val="left"/>
      <w:pPr>
        <w:ind w:left="2820" w:hanging="480"/>
      </w:pPr>
    </w:lvl>
    <w:lvl w:ilvl="5" w:tentative="0">
      <w:start w:val="1"/>
      <w:numFmt w:val="lowerRoman"/>
      <w:lvlText w:val="%6."/>
      <w:lvlJc w:val="right"/>
      <w:pPr>
        <w:ind w:left="3300" w:hanging="480"/>
      </w:pPr>
    </w:lvl>
    <w:lvl w:ilvl="6" w:tentative="0">
      <w:start w:val="1"/>
      <w:numFmt w:val="decimal"/>
      <w:lvlText w:val="%7."/>
      <w:lvlJc w:val="left"/>
      <w:pPr>
        <w:ind w:left="3780" w:hanging="480"/>
      </w:pPr>
    </w:lvl>
    <w:lvl w:ilvl="7" w:tentative="0">
      <w:start w:val="1"/>
      <w:numFmt w:val="lowerLetter"/>
      <w:lvlText w:val="%8)"/>
      <w:lvlJc w:val="left"/>
      <w:pPr>
        <w:ind w:left="4260" w:hanging="480"/>
      </w:pPr>
    </w:lvl>
    <w:lvl w:ilvl="8" w:tentative="0">
      <w:start w:val="1"/>
      <w:numFmt w:val="lowerRoman"/>
      <w:lvlText w:val="%9."/>
      <w:lvlJc w:val="right"/>
      <w:pPr>
        <w:ind w:left="4740" w:hanging="480"/>
      </w:pPr>
    </w:lvl>
  </w:abstractNum>
  <w:abstractNum w:abstractNumId="6">
    <w:nsid w:val="7FAF3E55"/>
    <w:multiLevelType w:val="singleLevel"/>
    <w:tmpl w:val="7FAF3E55"/>
    <w:lvl w:ilvl="0" w:tentative="0">
      <w:start w:val="1"/>
      <w:numFmt w:val="chineseCounting"/>
      <w:suff w:val="nothing"/>
      <w:lvlText w:val="%1、"/>
      <w:lvlJc w:val="left"/>
    </w:lvl>
  </w:abstractNum>
  <w:num w:numId="1">
    <w:abstractNumId w:val="1"/>
  </w:num>
  <w:num w:numId="2">
    <w:abstractNumId w:val="5"/>
  </w:num>
  <w:num w:numId="3">
    <w:abstractNumId w:val="2"/>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146"/>
    <w:rsid w:val="000115A7"/>
    <w:rsid w:val="00015EC6"/>
    <w:rsid w:val="0006197F"/>
    <w:rsid w:val="0008308B"/>
    <w:rsid w:val="00090F75"/>
    <w:rsid w:val="00095B83"/>
    <w:rsid w:val="000C4C06"/>
    <w:rsid w:val="000E552B"/>
    <w:rsid w:val="001216AA"/>
    <w:rsid w:val="0014484E"/>
    <w:rsid w:val="00171ABB"/>
    <w:rsid w:val="00195980"/>
    <w:rsid w:val="001A5ABE"/>
    <w:rsid w:val="001A6146"/>
    <w:rsid w:val="001B5ADA"/>
    <w:rsid w:val="001C3E25"/>
    <w:rsid w:val="001D4B45"/>
    <w:rsid w:val="001E4436"/>
    <w:rsid w:val="00210A09"/>
    <w:rsid w:val="0021543C"/>
    <w:rsid w:val="00231A37"/>
    <w:rsid w:val="0024416F"/>
    <w:rsid w:val="00264D19"/>
    <w:rsid w:val="002657BB"/>
    <w:rsid w:val="002B79EA"/>
    <w:rsid w:val="002C4512"/>
    <w:rsid w:val="002E0480"/>
    <w:rsid w:val="002E5945"/>
    <w:rsid w:val="002F589F"/>
    <w:rsid w:val="00300F6C"/>
    <w:rsid w:val="0031323D"/>
    <w:rsid w:val="00353A26"/>
    <w:rsid w:val="00363868"/>
    <w:rsid w:val="003648CB"/>
    <w:rsid w:val="00373AE9"/>
    <w:rsid w:val="003A123E"/>
    <w:rsid w:val="003A64BC"/>
    <w:rsid w:val="003B1B82"/>
    <w:rsid w:val="003D3693"/>
    <w:rsid w:val="003E512E"/>
    <w:rsid w:val="003F320F"/>
    <w:rsid w:val="00424632"/>
    <w:rsid w:val="00436A1D"/>
    <w:rsid w:val="00485F5A"/>
    <w:rsid w:val="004A533D"/>
    <w:rsid w:val="004D0115"/>
    <w:rsid w:val="004F2AAB"/>
    <w:rsid w:val="004F36F1"/>
    <w:rsid w:val="004F6F3C"/>
    <w:rsid w:val="00500352"/>
    <w:rsid w:val="005012A4"/>
    <w:rsid w:val="00517CCA"/>
    <w:rsid w:val="00542820"/>
    <w:rsid w:val="005501BE"/>
    <w:rsid w:val="00566F00"/>
    <w:rsid w:val="00587BE7"/>
    <w:rsid w:val="005902E2"/>
    <w:rsid w:val="0059326E"/>
    <w:rsid w:val="005A1425"/>
    <w:rsid w:val="005B1F8F"/>
    <w:rsid w:val="005B6F79"/>
    <w:rsid w:val="005C58BF"/>
    <w:rsid w:val="005E2795"/>
    <w:rsid w:val="00607FF6"/>
    <w:rsid w:val="00615AC5"/>
    <w:rsid w:val="006237A6"/>
    <w:rsid w:val="00643357"/>
    <w:rsid w:val="00645504"/>
    <w:rsid w:val="00657652"/>
    <w:rsid w:val="00672BB4"/>
    <w:rsid w:val="006907AB"/>
    <w:rsid w:val="00697F77"/>
    <w:rsid w:val="006B4DA1"/>
    <w:rsid w:val="006C7C46"/>
    <w:rsid w:val="006E466C"/>
    <w:rsid w:val="00731413"/>
    <w:rsid w:val="00757849"/>
    <w:rsid w:val="007B4ED2"/>
    <w:rsid w:val="007C27C0"/>
    <w:rsid w:val="007C4814"/>
    <w:rsid w:val="007D3FB0"/>
    <w:rsid w:val="007D4D68"/>
    <w:rsid w:val="007F520F"/>
    <w:rsid w:val="00813BE0"/>
    <w:rsid w:val="00824DC1"/>
    <w:rsid w:val="00840C0C"/>
    <w:rsid w:val="00851D6A"/>
    <w:rsid w:val="00857A00"/>
    <w:rsid w:val="008627D8"/>
    <w:rsid w:val="00871A14"/>
    <w:rsid w:val="00877D9D"/>
    <w:rsid w:val="00891B6B"/>
    <w:rsid w:val="008945CF"/>
    <w:rsid w:val="008A6293"/>
    <w:rsid w:val="008B3CE8"/>
    <w:rsid w:val="008E5371"/>
    <w:rsid w:val="00932CA9"/>
    <w:rsid w:val="00941C59"/>
    <w:rsid w:val="0098314E"/>
    <w:rsid w:val="009C6D8E"/>
    <w:rsid w:val="009E346B"/>
    <w:rsid w:val="009F36DA"/>
    <w:rsid w:val="00A14A85"/>
    <w:rsid w:val="00A170ED"/>
    <w:rsid w:val="00A218F1"/>
    <w:rsid w:val="00A2563C"/>
    <w:rsid w:val="00A4411D"/>
    <w:rsid w:val="00A95454"/>
    <w:rsid w:val="00AC4F62"/>
    <w:rsid w:val="00AD6371"/>
    <w:rsid w:val="00AE3B61"/>
    <w:rsid w:val="00B12308"/>
    <w:rsid w:val="00B44410"/>
    <w:rsid w:val="00B45110"/>
    <w:rsid w:val="00B47233"/>
    <w:rsid w:val="00B63818"/>
    <w:rsid w:val="00B81C2A"/>
    <w:rsid w:val="00B93B24"/>
    <w:rsid w:val="00BE01A1"/>
    <w:rsid w:val="00BE422E"/>
    <w:rsid w:val="00C17C01"/>
    <w:rsid w:val="00C220E3"/>
    <w:rsid w:val="00C25FF3"/>
    <w:rsid w:val="00C63978"/>
    <w:rsid w:val="00C664E1"/>
    <w:rsid w:val="00CB749C"/>
    <w:rsid w:val="00CD3258"/>
    <w:rsid w:val="00D2757A"/>
    <w:rsid w:val="00D27D00"/>
    <w:rsid w:val="00D36D44"/>
    <w:rsid w:val="00D42C74"/>
    <w:rsid w:val="00D82C42"/>
    <w:rsid w:val="00D948B5"/>
    <w:rsid w:val="00D95F54"/>
    <w:rsid w:val="00DB16A0"/>
    <w:rsid w:val="00DD3D18"/>
    <w:rsid w:val="00DD5CB1"/>
    <w:rsid w:val="00DE1DB0"/>
    <w:rsid w:val="00DE6225"/>
    <w:rsid w:val="00E05C0C"/>
    <w:rsid w:val="00E13520"/>
    <w:rsid w:val="00E17CAE"/>
    <w:rsid w:val="00E6002E"/>
    <w:rsid w:val="00E95C4E"/>
    <w:rsid w:val="00E960A3"/>
    <w:rsid w:val="00EA72AA"/>
    <w:rsid w:val="00EA77F0"/>
    <w:rsid w:val="00ED220F"/>
    <w:rsid w:val="00EE292A"/>
    <w:rsid w:val="00EE32E0"/>
    <w:rsid w:val="00EE3C67"/>
    <w:rsid w:val="00EF6635"/>
    <w:rsid w:val="00F162F5"/>
    <w:rsid w:val="00F31421"/>
    <w:rsid w:val="00F40A15"/>
    <w:rsid w:val="00F512B3"/>
    <w:rsid w:val="00F554CE"/>
    <w:rsid w:val="00F56995"/>
    <w:rsid w:val="00F659EA"/>
    <w:rsid w:val="00F818C8"/>
    <w:rsid w:val="00F84A4A"/>
    <w:rsid w:val="00F90F8C"/>
    <w:rsid w:val="00F96E64"/>
    <w:rsid w:val="00FD76FA"/>
    <w:rsid w:val="00FE20F8"/>
    <w:rsid w:val="031F0E30"/>
    <w:rsid w:val="0CED0821"/>
    <w:rsid w:val="13A069FE"/>
    <w:rsid w:val="295F54D2"/>
    <w:rsid w:val="2D2D10BB"/>
    <w:rsid w:val="3B5A1C3D"/>
    <w:rsid w:val="3D9052EB"/>
    <w:rsid w:val="443F25D9"/>
    <w:rsid w:val="45C52ABA"/>
    <w:rsid w:val="4B3F02B3"/>
    <w:rsid w:val="4E790AB7"/>
    <w:rsid w:val="53220A12"/>
    <w:rsid w:val="585D04C6"/>
    <w:rsid w:val="5C782D19"/>
    <w:rsid w:val="625E243F"/>
    <w:rsid w:val="6CB523B9"/>
    <w:rsid w:val="708F7347"/>
    <w:rsid w:val="70C70A8C"/>
    <w:rsid w:val="73003990"/>
    <w:rsid w:val="762A1729"/>
    <w:rsid w:val="78C0140A"/>
    <w:rsid w:val="79946420"/>
    <w:rsid w:val="7A2147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b/>
      <w:bCs/>
      <w:kern w:val="36"/>
      <w:sz w:val="48"/>
      <w:szCs w:val="48"/>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semiHidden/>
    <w:qFormat/>
    <w:uiPriority w:val="0"/>
    <w:pPr>
      <w:spacing w:after="120"/>
      <w:ind w:left="420" w:leftChars="2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uiPriority w:val="99"/>
    <w:rPr>
      <w:color w:val="0000FF"/>
      <w:u w:val="single"/>
    </w:rPr>
  </w:style>
  <w:style w:type="character" w:customStyle="1" w:styleId="9">
    <w:name w:val="页眉字符"/>
    <w:basedOn w:val="7"/>
    <w:link w:val="5"/>
    <w:semiHidden/>
    <w:qFormat/>
    <w:uiPriority w:val="99"/>
    <w:rPr>
      <w:kern w:val="2"/>
      <w:sz w:val="18"/>
      <w:szCs w:val="18"/>
    </w:rPr>
  </w:style>
  <w:style w:type="character" w:customStyle="1" w:styleId="10">
    <w:name w:val="页脚字符"/>
    <w:basedOn w:val="7"/>
    <w:link w:val="4"/>
    <w:semiHidden/>
    <w:qFormat/>
    <w:uiPriority w:val="99"/>
    <w:rPr>
      <w:kern w:val="2"/>
      <w:sz w:val="18"/>
      <w:szCs w:val="18"/>
    </w:rPr>
  </w:style>
  <w:style w:type="paragraph" w:styleId="11">
    <w:name w:val="List Paragraph"/>
    <w:basedOn w:val="1"/>
    <w:unhideWhenUsed/>
    <w:qFormat/>
    <w:uiPriority w:val="34"/>
    <w:pPr>
      <w:ind w:firstLine="420" w:firstLineChars="200"/>
    </w:pPr>
  </w:style>
  <w:style w:type="character" w:customStyle="1" w:styleId="12">
    <w:name w:val="标题 1字符"/>
    <w:basedOn w:val="7"/>
    <w:link w:val="2"/>
    <w:uiPriority w:val="9"/>
    <w:rPr>
      <w:b/>
      <w:bCs/>
      <w:kern w:val="36"/>
      <w:sz w:val="48"/>
      <w:szCs w:val="48"/>
    </w:rPr>
  </w:style>
  <w:style w:type="character" w:customStyle="1" w:styleId="13">
    <w:name w:val="apple-converted-space"/>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FB1C7D-CD57-AB40-AA45-495F88B974F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673</Words>
  <Characters>3839</Characters>
  <Lines>31</Lines>
  <Paragraphs>9</Paragraphs>
  <TotalTime>1</TotalTime>
  <ScaleCrop>false</ScaleCrop>
  <LinksUpToDate>false</LinksUpToDate>
  <CharactersWithSpaces>4503</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2018-10-29T02:18:00Z</dcterms:created>
  <dc:creator>czh</dc:creator>
  <cp:lastModifiedBy>S.Maggie</cp:lastModifiedBy>
  <cp:lastPrinted>2016-07-04T01:26:00Z</cp:lastPrinted>
  <dcterms:modified xsi:type="dcterms:W3CDTF">2019-10-11T02:07:19Z</dcterms:modified>
  <dc:title>《公共关系学》教学大纲</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