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5E9BD">
      <w:pPr>
        <w:jc w:val="center"/>
        <w:rPr>
          <w:rFonts w:ascii="华文仿宋" w:hAnsi="华文仿宋" w:eastAsia="华文仿宋"/>
          <w:sz w:val="36"/>
          <w:szCs w:val="36"/>
        </w:rPr>
      </w:pPr>
      <w:bookmarkStart w:id="0" w:name="_GoBack"/>
      <w:bookmarkEnd w:id="0"/>
    </w:p>
    <w:p w14:paraId="5545056C">
      <w:pPr>
        <w:jc w:val="center"/>
        <w:rPr>
          <w:rFonts w:ascii="方正小标宋简体" w:hAnsi="华文中宋" w:eastAsia="方正小标宋简体"/>
          <w:color w:val="FF0000"/>
          <w:w w:val="67"/>
          <w:sz w:val="80"/>
          <w:szCs w:val="80"/>
        </w:rPr>
      </w:pPr>
      <w:r>
        <w:rPr>
          <w:rFonts w:hint="eastAsia" w:ascii="方正小标宋简体" w:hAnsi="华文中宋" w:eastAsia="方正小标宋简体"/>
          <w:color w:val="FF0000"/>
          <w:w w:val="67"/>
          <w:sz w:val="80"/>
          <w:szCs w:val="80"/>
        </w:rPr>
        <w:drawing>
          <wp:inline distT="0" distB="0" distL="0" distR="0">
            <wp:extent cx="5762625" cy="742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DF38C">
      <w:pPr>
        <w:spacing w:before="156" w:beforeLines="50" w:after="156" w:afterLines="5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教务</w:t>
      </w:r>
      <w:r>
        <w:rPr>
          <w:rFonts w:hint="eastAsia" w:ascii="宋体" w:hAnsi="宋体" w:cs="宋体"/>
          <w:sz w:val="28"/>
          <w:szCs w:val="28"/>
        </w:rPr>
        <w:t>﹝</w:t>
      </w:r>
      <w:r>
        <w:rPr>
          <w:rFonts w:hint="eastAsia" w:ascii="仿宋_GB2312" w:eastAsia="仿宋_GB2312"/>
          <w:sz w:val="28"/>
          <w:szCs w:val="28"/>
        </w:rPr>
        <w:t>2019</w:t>
      </w:r>
      <w:r>
        <w:rPr>
          <w:rFonts w:hint="eastAsia" w:ascii="宋体" w:hAnsi="宋体" w:cs="宋体"/>
          <w:sz w:val="28"/>
          <w:szCs w:val="28"/>
        </w:rPr>
        <w:t>﹞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70</w:t>
      </w:r>
      <w:r>
        <w:rPr>
          <w:rFonts w:hint="eastAsia" w:ascii="仿宋_GB2312" w:eastAsia="仿宋_GB2312"/>
          <w:sz w:val="28"/>
          <w:szCs w:val="28"/>
        </w:rPr>
        <w:t>号</w:t>
      </w:r>
    </w:p>
    <w:p w14:paraId="4F34DAE9">
      <w:pPr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144780</wp:posOffset>
                </wp:positionV>
                <wp:extent cx="5760085" cy="0"/>
                <wp:effectExtent l="0" t="0" r="1206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9pt;margin-top:11.4pt;height:0pt;width:453.55pt;z-index:251659264;mso-width-relative:page;mso-height-relative:page;" filled="f" stroked="t" coordsize="21600,21600" o:gfxdata="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52wf1wAA&#10;AAkBAAAPAAAAAAAAAAEAIAAAACIAAABkcnMvZG93bnJldi54bWxQSwECFAAUAAAACACHTuJAi+XK&#10;huYBAACrAwAADgAAAAAAAAABACAAAAAmAQAAZHJzL2Uyb0RvYy54bWxQSwUGAAAAAAYABgBZAQAA&#10;f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7F372E8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南京审计大学金审学院阅卷规范</w:t>
      </w:r>
    </w:p>
    <w:p w14:paraId="7D89AFF6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试卷是重要的教学原始材料之一，是衡量教师教学效果和评定学生学习成绩的重要依据，也是各项评估检查的重要的原始资料。为了进一步规范试卷评阅工作，特制定本规范。</w:t>
      </w:r>
    </w:p>
    <w:p w14:paraId="7EEEC77F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一、</w:t>
      </w:r>
      <w:r>
        <w:rPr>
          <w:rFonts w:hint="eastAsia" w:ascii="仿宋" w:hAnsi="仿宋" w:eastAsia="仿宋"/>
          <w:sz w:val="28"/>
          <w:szCs w:val="28"/>
        </w:rPr>
        <w:t>阅卷原则</w:t>
      </w:r>
    </w:p>
    <w:p w14:paraId="60B235D7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sz w:val="28"/>
          <w:szCs w:val="28"/>
        </w:rPr>
        <w:t>教师批改试卷应本着严肃认真的态度，严格按照试卷事前拟定的评分标准客观公正地阅卷计分，不得无故提高或降低学生成绩，试卷中不允许出现“人情分”、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奖励分”等情况，累加总分应准确无误。</w:t>
      </w:r>
    </w:p>
    <w:p w14:paraId="3711F326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2、课程代码、名称、学分相同，但由不同教师承担的不同班级的同一门课程，应实行统一命题，并集中流水阅卷</w:t>
      </w:r>
      <w:r>
        <w:rPr>
          <w:rFonts w:ascii="仿宋" w:hAnsi="仿宋" w:eastAsia="仿宋"/>
          <w:sz w:val="28"/>
          <w:szCs w:val="28"/>
        </w:rPr>
        <w:t>;其他课程应由各教研室尽量组织教师集体阅卷。</w:t>
      </w:r>
      <w:r>
        <w:rPr>
          <w:rFonts w:hint="eastAsia" w:ascii="仿宋" w:hAnsi="仿宋" w:eastAsia="仿宋"/>
          <w:sz w:val="28"/>
          <w:szCs w:val="28"/>
        </w:rPr>
        <w:t>相关教研室主任应严格按照阅卷要求和程序认真组织。</w:t>
      </w:r>
    </w:p>
    <w:p w14:paraId="08D417A6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ascii="仿宋" w:hAnsi="仿宋" w:eastAsia="仿宋"/>
          <w:sz w:val="28"/>
          <w:szCs w:val="28"/>
        </w:rPr>
        <w:t>各门考试课程阅卷方式、时间地点由各教研室主任确定，但时间要符合学校整体教学安排。</w:t>
      </w:r>
    </w:p>
    <w:p w14:paraId="2F3E0217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二、阅卷要求</w:t>
      </w:r>
    </w:p>
    <w:p w14:paraId="37240CD7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1、要参照标准(参考)答案和评分标准，统一标准判</w:t>
      </w:r>
      <w:r>
        <w:rPr>
          <w:rFonts w:hint="eastAsia" w:ascii="仿宋" w:hAnsi="仿宋" w:eastAsia="仿宋"/>
          <w:sz w:val="28"/>
          <w:szCs w:val="28"/>
        </w:rPr>
        <w:t>卷，做到阅卷评分严格、公正，无误判。</w:t>
      </w:r>
    </w:p>
    <w:p w14:paraId="1415B8A6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2、评卷一律使用红色笔，记分数字必须工整、清晰、</w:t>
      </w:r>
      <w:r>
        <w:rPr>
          <w:rFonts w:hint="eastAsia" w:ascii="仿宋" w:hAnsi="仿宋" w:eastAsia="仿宋"/>
          <w:sz w:val="28"/>
          <w:szCs w:val="28"/>
        </w:rPr>
        <w:t>规范、易于辨认，分数一</w:t>
      </w:r>
      <w:r>
        <w:rPr>
          <w:rFonts w:ascii="仿宋" w:hAnsi="仿宋" w:eastAsia="仿宋"/>
          <w:sz w:val="28"/>
          <w:szCs w:val="28"/>
        </w:rPr>
        <w:t>经评定，不得随意更改，若因误评</w:t>
      </w:r>
      <w:r>
        <w:rPr>
          <w:rFonts w:hint="eastAsia" w:ascii="仿宋" w:hAnsi="仿宋" w:eastAsia="仿宋"/>
          <w:sz w:val="28"/>
          <w:szCs w:val="28"/>
        </w:rPr>
        <w:t>或漏评确需更改时，阅卷教师须在改动处签名。保持试卷的整洁，不得在试卷上出现与试卷批改无关的字迹。</w:t>
      </w:r>
    </w:p>
    <w:p w14:paraId="0F0471DF">
      <w:pPr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3、试卷记分要科学规范。每道大题的得分(正分)标在本题</w:t>
      </w:r>
      <w:r>
        <w:rPr>
          <w:rFonts w:hint="eastAsia" w:ascii="仿宋" w:hAnsi="仿宋" w:eastAsia="仿宋"/>
          <w:sz w:val="28"/>
          <w:szCs w:val="28"/>
        </w:rPr>
        <w:t>题号前</w:t>
      </w:r>
      <w:r>
        <w:rPr>
          <w:rFonts w:ascii="仿宋" w:hAnsi="仿宋" w:eastAsia="仿宋"/>
          <w:sz w:val="28"/>
          <w:szCs w:val="28"/>
        </w:rPr>
        <w:t>，每道小题错误的减分(负分)标在扣</w:t>
      </w:r>
      <w:r>
        <w:rPr>
          <w:rFonts w:hint="eastAsia" w:ascii="仿宋" w:hAnsi="仿宋" w:eastAsia="仿宋"/>
          <w:sz w:val="28"/>
          <w:szCs w:val="28"/>
        </w:rPr>
        <w:t>分处，得分减分要清楚、标注规范。小题的对与错应标记明确，对的划“</w:t>
      </w:r>
      <w:r>
        <w:rPr>
          <w:rFonts w:ascii="仿宋" w:hAnsi="仿宋" w:eastAsia="仿宋"/>
          <w:sz w:val="28"/>
          <w:szCs w:val="28"/>
        </w:rPr>
        <w:t>√”，错的划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”，</w:t>
      </w:r>
      <w:r>
        <w:rPr>
          <w:rFonts w:ascii="仿宋" w:hAnsi="仿宋" w:eastAsia="仿宋"/>
          <w:sz w:val="28"/>
          <w:szCs w:val="28"/>
        </w:rPr>
        <w:t>介于对错之间的划半对记号。每小题的批阅标记应与得分或扣分相符，并标明应得分分值，出现“√”标记必须是满分，出现“x”标记必须是0分，出现半对号必须是介于0分和最高分之间的分值。</w:t>
      </w:r>
    </w:p>
    <w:p w14:paraId="528C335D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4、</w:t>
      </w:r>
      <w:r>
        <w:rPr>
          <w:rFonts w:hint="eastAsia" w:ascii="仿宋" w:hAnsi="仿宋" w:eastAsia="仿宋"/>
          <w:sz w:val="28"/>
          <w:szCs w:val="28"/>
        </w:rPr>
        <w:t>使用答题册的，阅卷教师在答题册封面按照题号登记各大题得分、汇总总分并在要求签名处签名；未使用答题册的，阅卷教师在试卷登分栏按照题号登记各大题得分、汇总总分后签名；</w:t>
      </w:r>
      <w:r>
        <w:rPr>
          <w:rFonts w:ascii="仿宋" w:hAnsi="仿宋" w:eastAsia="仿宋"/>
          <w:sz w:val="28"/>
          <w:szCs w:val="28"/>
        </w:rPr>
        <w:t>总分</w:t>
      </w:r>
      <w:r>
        <w:rPr>
          <w:rFonts w:hint="eastAsia" w:ascii="仿宋" w:hAnsi="仿宋" w:eastAsia="仿宋"/>
          <w:sz w:val="28"/>
          <w:szCs w:val="28"/>
        </w:rPr>
        <w:t>有小数的</w:t>
      </w:r>
      <w:r>
        <w:rPr>
          <w:rFonts w:ascii="仿宋" w:hAnsi="仿宋" w:eastAsia="仿宋"/>
          <w:sz w:val="28"/>
          <w:szCs w:val="28"/>
        </w:rPr>
        <w:t>保留一位小数。</w:t>
      </w:r>
    </w:p>
    <w:p w14:paraId="12A9335B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、教师在试卷批改过程中，出现有雷同或疑似试卷，应仔细慎重进行核对，并及时向教研</w:t>
      </w:r>
      <w:r>
        <w:rPr>
          <w:rFonts w:hint="eastAsia" w:ascii="仿宋" w:hAnsi="仿宋" w:eastAsia="仿宋"/>
          <w:sz w:val="28"/>
          <w:szCs w:val="28"/>
        </w:rPr>
        <w:t>室</w:t>
      </w:r>
      <w:r>
        <w:rPr>
          <w:rFonts w:ascii="仿宋" w:hAnsi="仿宋" w:eastAsia="仿宋"/>
          <w:sz w:val="28"/>
          <w:szCs w:val="28"/>
        </w:rPr>
        <w:t>汇报，由教研</w:t>
      </w:r>
      <w:r>
        <w:rPr>
          <w:rFonts w:hint="eastAsia" w:ascii="仿宋" w:hAnsi="仿宋" w:eastAsia="仿宋"/>
          <w:sz w:val="28"/>
          <w:szCs w:val="28"/>
        </w:rPr>
        <w:t>室</w:t>
      </w:r>
      <w:r>
        <w:rPr>
          <w:rFonts w:ascii="仿宋" w:hAnsi="仿宋" w:eastAsia="仿宋"/>
          <w:sz w:val="28"/>
          <w:szCs w:val="28"/>
        </w:rPr>
        <w:t>统一研究处理方案上报本</w:t>
      </w:r>
      <w:r>
        <w:rPr>
          <w:rFonts w:hint="eastAsia" w:ascii="仿宋" w:hAnsi="仿宋" w:eastAsia="仿宋"/>
          <w:sz w:val="28"/>
          <w:szCs w:val="28"/>
        </w:rPr>
        <w:t>院（</w:t>
      </w:r>
      <w:r>
        <w:rPr>
          <w:rFonts w:ascii="仿宋" w:hAnsi="仿宋" w:eastAsia="仿宋"/>
          <w:sz w:val="28"/>
          <w:szCs w:val="28"/>
        </w:rPr>
        <w:t>部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，并报教务处备案。</w:t>
      </w:r>
    </w:p>
    <w:p w14:paraId="752C94F0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、阅卷结束，</w:t>
      </w:r>
      <w:r>
        <w:rPr>
          <w:rFonts w:hint="eastAsia" w:ascii="仿宋" w:hAnsi="仿宋" w:eastAsia="仿宋"/>
          <w:sz w:val="28"/>
          <w:szCs w:val="28"/>
        </w:rPr>
        <w:t>阅</w:t>
      </w:r>
      <w:r>
        <w:rPr>
          <w:rFonts w:ascii="仿宋" w:hAnsi="仿宋" w:eastAsia="仿宋"/>
          <w:sz w:val="28"/>
          <w:szCs w:val="28"/>
        </w:rPr>
        <w:t>卷教师要认真复查，核实无误，避免漏判、错判、漏登等情况。对成绩不合格的试卷，尤其是55-59分数段的试卷要逐一进行认真、细致复查。</w:t>
      </w:r>
    </w:p>
    <w:p w14:paraId="36878C48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、阅卷结束，及时登记成绩、分析试卷，按程序上报成绩，</w:t>
      </w:r>
      <w:r>
        <w:rPr>
          <w:rFonts w:hint="eastAsia" w:ascii="仿宋" w:hAnsi="仿宋" w:eastAsia="仿宋"/>
          <w:sz w:val="28"/>
          <w:szCs w:val="28"/>
        </w:rPr>
        <w:t>将试卷或答题卡、答题册</w:t>
      </w:r>
      <w:r>
        <w:rPr>
          <w:rFonts w:ascii="仿宋" w:hAnsi="仿宋" w:eastAsia="仿宋"/>
          <w:sz w:val="28"/>
          <w:szCs w:val="28"/>
        </w:rPr>
        <w:t>按学号顺序</w:t>
      </w:r>
      <w:r>
        <w:rPr>
          <w:rFonts w:hint="eastAsia" w:ascii="仿宋" w:hAnsi="仿宋" w:eastAsia="仿宋"/>
          <w:sz w:val="28"/>
          <w:szCs w:val="28"/>
        </w:rPr>
        <w:t>排列后连同课程过程资料和考试过程资料</w:t>
      </w:r>
      <w:r>
        <w:rPr>
          <w:rFonts w:ascii="仿宋" w:hAnsi="仿宋" w:eastAsia="仿宋"/>
          <w:sz w:val="28"/>
          <w:szCs w:val="28"/>
        </w:rPr>
        <w:t>装袋</w:t>
      </w:r>
      <w:r>
        <w:rPr>
          <w:rFonts w:hint="eastAsia" w:ascii="仿宋" w:hAnsi="仿宋" w:eastAsia="仿宋"/>
          <w:sz w:val="28"/>
          <w:szCs w:val="28"/>
        </w:rPr>
        <w:t>。教研室主任</w:t>
      </w:r>
      <w:r>
        <w:rPr>
          <w:rFonts w:ascii="仿宋" w:hAnsi="仿宋" w:eastAsia="仿宋"/>
          <w:sz w:val="28"/>
          <w:szCs w:val="28"/>
        </w:rPr>
        <w:t>应对试卷的批改质量</w:t>
      </w:r>
      <w:r>
        <w:rPr>
          <w:rFonts w:hint="eastAsia" w:ascii="仿宋" w:hAnsi="仿宋" w:eastAsia="仿宋"/>
          <w:sz w:val="28"/>
          <w:szCs w:val="28"/>
        </w:rPr>
        <w:t>和装袋情况</w:t>
      </w:r>
      <w:r>
        <w:rPr>
          <w:rFonts w:ascii="仿宋" w:hAnsi="仿宋" w:eastAsia="仿宋"/>
          <w:sz w:val="28"/>
          <w:szCs w:val="28"/>
        </w:rPr>
        <w:t>进行检查,</w:t>
      </w:r>
      <w:r>
        <w:rPr>
          <w:rFonts w:hint="eastAsia" w:ascii="仿宋" w:hAnsi="仿宋" w:eastAsia="仿宋"/>
          <w:sz w:val="28"/>
          <w:szCs w:val="28"/>
        </w:rPr>
        <w:t xml:space="preserve"> 并在试卷分析表上签字</w:t>
      </w:r>
      <w:r>
        <w:rPr>
          <w:rFonts w:ascii="仿宋" w:hAnsi="仿宋" w:eastAsia="仿宋"/>
          <w:sz w:val="28"/>
          <w:szCs w:val="28"/>
        </w:rPr>
        <w:t>。</w:t>
      </w:r>
    </w:p>
    <w:p w14:paraId="427F8DF0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三、其他事项</w:t>
      </w:r>
    </w:p>
    <w:p w14:paraId="2312F949">
      <w:pPr>
        <w:widowControl/>
        <w:spacing w:after="24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1、成绩输入系统之后需要更改的，</w:t>
      </w:r>
      <w:r>
        <w:rPr>
          <w:rFonts w:hint="eastAsia" w:ascii="仿宋" w:hAnsi="仿宋" w:eastAsia="仿宋"/>
          <w:sz w:val="28"/>
          <w:szCs w:val="28"/>
        </w:rPr>
        <w:t>须</w:t>
      </w:r>
      <w:r>
        <w:rPr>
          <w:rFonts w:ascii="仿宋" w:hAnsi="仿宋" w:eastAsia="仿宋"/>
          <w:sz w:val="28"/>
          <w:szCs w:val="28"/>
        </w:rPr>
        <w:t>填写《</w:t>
      </w:r>
      <w:r>
        <w:rPr>
          <w:rFonts w:hint="eastAsia" w:ascii="仿宋" w:hAnsi="仿宋" w:eastAsia="仿宋"/>
          <w:sz w:val="28"/>
          <w:szCs w:val="28"/>
        </w:rPr>
        <w:t>南京审计大学金审学院</w:t>
      </w:r>
      <w:r>
        <w:rPr>
          <w:rFonts w:ascii="仿宋" w:hAnsi="仿宋" w:eastAsia="仿宋"/>
          <w:sz w:val="28"/>
          <w:szCs w:val="28"/>
        </w:rPr>
        <w:t>成绩修改</w:t>
      </w:r>
      <w:r>
        <w:rPr>
          <w:rFonts w:hint="eastAsia" w:ascii="仿宋" w:hAnsi="仿宋" w:eastAsia="仿宋"/>
          <w:sz w:val="28"/>
          <w:szCs w:val="28"/>
        </w:rPr>
        <w:t>通知单</w:t>
      </w:r>
      <w:r>
        <w:rPr>
          <w:rFonts w:ascii="仿宋" w:hAnsi="仿宋" w:eastAsia="仿宋"/>
          <w:sz w:val="28"/>
          <w:szCs w:val="28"/>
        </w:rPr>
        <w:t>》，按规定程序办理。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2、试卷检查发现重大错误，写出书面说明，并视情况作为年度教学考核、教学评优的依据之一。</w:t>
      </w:r>
    </w:p>
    <w:p w14:paraId="67AD09C6">
      <w:pPr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本规范从公布之日起实施。</w:t>
      </w:r>
    </w:p>
    <w:p w14:paraId="07E5B786">
      <w:pPr>
        <w:ind w:firstLine="280" w:firstLineChars="100"/>
        <w:jc w:val="left"/>
        <w:rPr>
          <w:rFonts w:ascii="仿宋" w:hAnsi="仿宋" w:eastAsia="仿宋"/>
          <w:sz w:val="28"/>
          <w:szCs w:val="28"/>
        </w:rPr>
      </w:pPr>
    </w:p>
    <w:p w14:paraId="64C9B5AB">
      <w:pPr>
        <w:pStyle w:val="5"/>
        <w:spacing w:before="0" w:beforeAutospacing="0" w:after="0" w:afterAutospacing="0"/>
        <w:jc w:val="right"/>
        <w:rPr>
          <w:rFonts w:ascii="仿宋_GB2312" w:eastAsia="仿宋_GB2312"/>
          <w:sz w:val="28"/>
          <w:szCs w:val="28"/>
        </w:rPr>
      </w:pPr>
    </w:p>
    <w:p w14:paraId="294B59FB">
      <w:pPr>
        <w:pStyle w:val="5"/>
        <w:spacing w:before="0" w:beforeAutospacing="0" w:after="0" w:afterAutospacing="0"/>
        <w:jc w:val="right"/>
        <w:rPr>
          <w:rFonts w:ascii="仿宋_GB2312" w:eastAsia="仿宋_GB2312"/>
          <w:sz w:val="28"/>
          <w:szCs w:val="28"/>
        </w:rPr>
      </w:pPr>
    </w:p>
    <w:p w14:paraId="2B1CFBED">
      <w:pPr>
        <w:pStyle w:val="5"/>
        <w:spacing w:before="0" w:beforeAutospacing="0" w:after="0" w:afterAutospacing="0"/>
        <w:jc w:val="right"/>
        <w:rPr>
          <w:rFonts w:ascii="仿宋" w:hAnsi="仿宋" w:eastAsia="仿宋" w:cs="仿宋"/>
          <w:color w:val="666666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教务管理办公室</w:t>
      </w:r>
    </w:p>
    <w:p w14:paraId="11F988A2">
      <w:pPr>
        <w:pStyle w:val="5"/>
        <w:spacing w:before="0" w:beforeAutospacing="0" w:after="0" w:afterAutospacing="0"/>
        <w:jc w:val="right"/>
        <w:rPr>
          <w:rFonts w:ascii="仿宋" w:hAnsi="仿宋" w:eastAsia="仿宋" w:cs="仿宋"/>
          <w:color w:val="666666"/>
          <w:sz w:val="28"/>
          <w:szCs w:val="28"/>
        </w:rPr>
      </w:pPr>
      <w:r>
        <w:rPr>
          <w:rFonts w:hint="eastAsia"/>
          <w:spacing w:val="15"/>
          <w:sz w:val="28"/>
          <w:szCs w:val="28"/>
        </w:rPr>
        <w:t>     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2019年6月10日</w:t>
      </w:r>
    </w:p>
    <w:p w14:paraId="2CFB5C4C">
      <w:pPr>
        <w:pStyle w:val="5"/>
        <w:spacing w:before="0" w:beforeAutospacing="0" w:after="0" w:afterAutospacing="0"/>
        <w:ind w:firstLine="620"/>
        <w:jc w:val="both"/>
        <w:rPr>
          <w:rFonts w:ascii="仿宋" w:hAnsi="仿宋" w:eastAsia="仿宋" w:cs="仿宋"/>
          <w:spacing w:val="15"/>
          <w:sz w:val="28"/>
          <w:szCs w:val="28"/>
        </w:rPr>
      </w:pPr>
    </w:p>
    <w:p w14:paraId="42109C99">
      <w:pPr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-3175</wp:posOffset>
                </wp:positionV>
                <wp:extent cx="5351145" cy="0"/>
                <wp:effectExtent l="0" t="0" r="2095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5pt;margin-top:-0.25pt;height:0pt;width:421.35pt;z-index:251660288;mso-width-relative:page;mso-height-relative:page;" filled="f" stroked="t" coordsize="21600,21600" o:gfxdata="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LCAJo0wAAAAUBAAAP&#10;AAAAAAAAAAEAIAAAACIAAABkcnMvZG93bnJldi54bWxQSwECFAAUAAAACACHTuJAkDbv/+QBAACr&#10;AwAADgAAAAAAAAABACAAAAAi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教务管理办公室                          2019年6月10日印发   </w:t>
      </w:r>
    </w:p>
    <w:p w14:paraId="125478A2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5715</wp:posOffset>
                </wp:positionV>
                <wp:extent cx="5351145" cy="0"/>
                <wp:effectExtent l="0" t="0" r="2095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5pt;margin-top:0.45pt;height:0pt;width:421.35pt;z-index:251661312;mso-width-relative:page;mso-height-relative:page;" filled="f" stroked="t" coordsize="21600,21600" o:gfxdata="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RkWud0wAAAAMBAAAP&#10;AAAAAAAAAAEAIAAAACIAAABkcnMvZG93bnJldi54bWxQSwECFAAUAAAACACHTuJAoBRz7+QBAACr&#10;AwAADgAAAAAAAAABACAAAAAi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2BE5704">
      <w:pPr>
        <w:ind w:firstLine="280" w:firstLineChars="100"/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0462507"/>
      <w:docPartObj>
        <w:docPartGallery w:val="AutoText"/>
      </w:docPartObj>
    </w:sdtPr>
    <w:sdtContent>
      <w:p w14:paraId="2B9613A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F1F80E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0F"/>
    <w:rsid w:val="000D020D"/>
    <w:rsid w:val="0014453E"/>
    <w:rsid w:val="001E716B"/>
    <w:rsid w:val="00326B58"/>
    <w:rsid w:val="003B13BC"/>
    <w:rsid w:val="00495B3A"/>
    <w:rsid w:val="005326AB"/>
    <w:rsid w:val="007330E4"/>
    <w:rsid w:val="0080638B"/>
    <w:rsid w:val="008B1F0F"/>
    <w:rsid w:val="00A27732"/>
    <w:rsid w:val="00A47566"/>
    <w:rsid w:val="00A477DA"/>
    <w:rsid w:val="00A56404"/>
    <w:rsid w:val="00A61917"/>
    <w:rsid w:val="00AB21E7"/>
    <w:rsid w:val="00BF2B6D"/>
    <w:rsid w:val="00C22859"/>
    <w:rsid w:val="00C515E9"/>
    <w:rsid w:val="00CF4337"/>
    <w:rsid w:val="00D94A5F"/>
    <w:rsid w:val="00DD7EE6"/>
    <w:rsid w:val="00E67A5A"/>
    <w:rsid w:val="00F90439"/>
    <w:rsid w:val="3B2C38AF"/>
    <w:rsid w:val="7D5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1128</Words>
  <Characters>1144</Characters>
  <Lines>8</Lines>
  <Paragraphs>2</Paragraphs>
  <TotalTime>142</TotalTime>
  <ScaleCrop>false</ScaleCrop>
  <LinksUpToDate>false</LinksUpToDate>
  <CharactersWithSpaces>1193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2019-06-09T14:23:00Z</dcterms:created>
  <dc:creator>胡慧</dc:creator>
  <cp:lastModifiedBy>土豆</cp:lastModifiedBy>
  <cp:lastPrinted>2025-09-11T05:44:49Z</cp:lastPrinted>
  <dcterms:modified xsi:type="dcterms:W3CDTF">2025-09-11T08:38:30Z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B2279CE0413D479D9BF1EB3EE24F25BD_13</vt:lpwstr>
  </property>
</Properties>
</file>